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pPr>
    </w:p>
    <w:p>
      <w:pPr>
        <w:jc w:val="cente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pPr>
      <w: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t>关于</w:t>
      </w:r>
      <w:r>
        <w:rPr>
          <w:rFonts w:hint="eastAsia" w:ascii="宋体-方正超大字符集" w:hAnsi="宋体-方正超大字符集" w:eastAsia="宋体-方正超大字符集" w:cs="宋体-方正超大字符集"/>
          <w:b/>
          <w:bCs/>
          <w:color w:val="000000" w:themeColor="text1"/>
          <w:sz w:val="44"/>
          <w:szCs w:val="44"/>
          <w:shd w:val="clear" w:color="auto" w:fill="auto"/>
          <w:lang w:eastAsia="zh-CN"/>
          <w14:textFill>
            <w14:solidFill>
              <w14:schemeClr w14:val="tx1"/>
            </w14:solidFill>
          </w14:textFill>
        </w:rPr>
        <w:t>化解</w:t>
      </w:r>
      <w: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t>安置</w:t>
      </w:r>
      <w:r>
        <w:rPr>
          <w:rFonts w:hint="eastAsia" w:ascii="宋体-方正超大字符集" w:hAnsi="宋体-方正超大字符集" w:eastAsia="宋体-方正超大字符集" w:cs="宋体-方正超大字符集"/>
          <w:b/>
          <w:bCs/>
          <w:color w:val="000000" w:themeColor="text1"/>
          <w:sz w:val="44"/>
          <w:szCs w:val="44"/>
          <w:shd w:val="clear" w:color="auto" w:fill="auto"/>
          <w:lang w:eastAsia="zh-CN"/>
          <w14:textFill>
            <w14:solidFill>
              <w14:schemeClr w14:val="tx1"/>
            </w14:solidFill>
          </w14:textFill>
        </w:rPr>
        <w:t>地建设</w:t>
      </w:r>
      <w:r>
        <w:rPr>
          <w:rFonts w:hint="eastAsia" w:ascii="宋体-方正超大字符集" w:hAnsi="宋体-方正超大字符集" w:eastAsia="宋体-方正超大字符集" w:cs="宋体-方正超大字符集"/>
          <w:b/>
          <w:bCs/>
          <w:color w:val="auto"/>
          <w:sz w:val="44"/>
          <w:szCs w:val="44"/>
          <w:shd w:val="clear" w:color="auto" w:fill="auto"/>
          <w:lang w:eastAsia="zh-CN"/>
        </w:rPr>
        <w:t>超层扩面</w:t>
      </w:r>
      <w:r>
        <w:rPr>
          <w:rFonts w:hint="eastAsia" w:ascii="宋体-方正超大字符集" w:hAnsi="宋体-方正超大字符集" w:eastAsia="宋体-方正超大字符集" w:cs="宋体-方正超大字符集"/>
          <w:b/>
          <w:bCs/>
          <w:color w:val="000000" w:themeColor="text1"/>
          <w:sz w:val="44"/>
          <w:szCs w:val="44"/>
          <w:shd w:val="clear" w:color="auto" w:fill="auto"/>
          <w:lang w:eastAsia="zh-CN"/>
          <w14:textFill>
            <w14:solidFill>
              <w14:schemeClr w14:val="tx1"/>
            </w14:solidFill>
          </w14:textFill>
        </w:rPr>
        <w:t>遗留</w:t>
      </w:r>
      <w:r>
        <w:rPr>
          <w:rFonts w:hint="eastAsia" w:ascii="宋体-方正超大字符集" w:hAnsi="宋体-方正超大字符集" w:eastAsia="宋体-方正超大字符集" w:cs="宋体-方正超大字符集"/>
          <w:b/>
          <w:bCs/>
          <w:color w:val="000000" w:themeColor="text1"/>
          <w:sz w:val="44"/>
          <w:szCs w:val="44"/>
          <w:shd w:val="clear" w:color="auto" w:fill="auto"/>
          <w14:textFill>
            <w14:solidFill>
              <w14:schemeClr w14:val="tx1"/>
            </w14:solidFill>
          </w14:textFill>
        </w:rPr>
        <w:t>问题的处置方案</w:t>
      </w:r>
    </w:p>
    <w:p>
      <w:pPr>
        <w:jc w:val="center"/>
        <w:rPr>
          <w:rFonts w:hint="eastAsia" w:ascii="仿宋_GB2312" w:hAnsi="仿宋_GB2312" w:eastAsia="仿宋_GB2312" w:cs="仿宋_GB2312"/>
          <w:b/>
          <w:bCs/>
          <w:color w:val="000000" w:themeColor="text1"/>
          <w:sz w:val="32"/>
          <w:szCs w:val="32"/>
          <w:lang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2025年4月25</w:t>
      </w:r>
      <w:bookmarkStart w:id="9" w:name="_GoBack"/>
      <w:bookmarkEnd w:id="9"/>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日修改稿）</w:t>
      </w:r>
    </w:p>
    <w:p>
      <w:pPr>
        <w:spacing w:line="600" w:lineRule="exact"/>
        <w:ind w:firstLine="640" w:firstLineChars="200"/>
        <w:rPr>
          <w:rFonts w:hint="eastAsia" w:ascii="仿宋_GB2312" w:hAnsi="仿宋_GB2312" w:eastAsia="仿宋_GB2312" w:cs="仿宋_GB2312"/>
          <w:color w:val="000000" w:themeColor="text1"/>
          <w:sz w:val="32"/>
          <w:szCs w:val="32"/>
          <w:u w:val="thick"/>
          <w:em w:val="dot"/>
          <w14:textFill>
            <w14:solidFill>
              <w14:schemeClr w14:val="tx1"/>
            </w14:solidFill>
          </w14:textFill>
        </w:rPr>
      </w:pP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化解我县</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auto"/>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遗留问题，全面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规范安置房屋的建设管理，</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kern w:val="0"/>
          <w:sz w:val="32"/>
          <w:szCs w:val="32"/>
          <w14:textFill>
            <w14:solidFill>
              <w14:schemeClr w14:val="tx1"/>
            </w14:solidFill>
          </w14:textFill>
        </w:rPr>
        <w:t>《湖南省实施〈中华人民共和国土地管理法〉办法》《湖南省实施〈中华人民共和国城乡规划法〉办法》</w:t>
      </w:r>
      <w:r>
        <w:rPr>
          <w:rFonts w:hint="eastAsia" w:ascii="仿宋_GB2312" w:hAnsi="仿宋_GB2312" w:eastAsia="仿宋_GB2312" w:cs="仿宋_GB2312"/>
          <w:color w:val="000000" w:themeColor="text1"/>
          <w:kern w:val="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相关法律法规和</w:t>
      </w:r>
      <w:r>
        <w:rPr>
          <w:rFonts w:hint="eastAsia" w:ascii="仿宋_GB2312" w:hAnsi="仿宋_GB2312" w:eastAsia="仿宋_GB2312" w:cs="仿宋_GB2312"/>
          <w:color w:val="000000" w:themeColor="text1"/>
          <w:sz w:val="32"/>
          <w:szCs w:val="32"/>
          <w:lang w:eastAsia="zh-CN"/>
          <w14:textFill>
            <w14:solidFill>
              <w14:schemeClr w14:val="tx1"/>
            </w14:solidFill>
          </w14:textFill>
        </w:rPr>
        <w:t>参照</w:t>
      </w:r>
      <w:r>
        <w:rPr>
          <w:rFonts w:hint="eastAsia" w:ascii="仿宋_GB2312" w:hAnsi="仿宋_GB2312" w:eastAsia="仿宋_GB2312" w:cs="仿宋_GB2312"/>
          <w:color w:val="000000" w:themeColor="text1"/>
          <w:sz w:val="32"/>
          <w:szCs w:val="32"/>
          <w14:textFill>
            <w14:solidFill>
              <w14:schemeClr w14:val="tx1"/>
            </w14:solidFill>
          </w14:textFill>
        </w:rPr>
        <w:t>湖南省集中化解房地产办证信访突出问题专项行动领导小组办公室《关于做好房地产办证信访突出问题化解的指导意见》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平江县人民政府《关于省委巡视反馈洪家塅安置区问题的整改方案》平政办函[2023]28号</w:t>
      </w:r>
      <w:r>
        <w:rPr>
          <w:rFonts w:hint="eastAsia" w:ascii="仿宋_GB2312" w:hAnsi="仿宋_GB2312" w:eastAsia="仿宋_GB2312" w:cs="仿宋_GB2312"/>
          <w:color w:val="000000" w:themeColor="text1"/>
          <w:sz w:val="32"/>
          <w:szCs w:val="32"/>
          <w:lang w:eastAsia="zh-CN"/>
          <w14:textFill>
            <w14:solidFill>
              <w14:schemeClr w14:val="tx1"/>
            </w14:solidFill>
          </w14:textFill>
        </w:rPr>
        <w:t>等文件精神，</w:t>
      </w:r>
      <w:r>
        <w:rPr>
          <w:rFonts w:hint="eastAsia" w:ascii="仿宋_GB2312" w:hAnsi="仿宋_GB2312" w:eastAsia="仿宋_GB2312" w:cs="仿宋_GB2312"/>
          <w:color w:val="000000" w:themeColor="text1"/>
          <w:sz w:val="32"/>
          <w:szCs w:val="32"/>
          <w14:textFill>
            <w14:solidFill>
              <w14:schemeClr w14:val="tx1"/>
            </w14:solidFill>
          </w14:textFill>
        </w:rPr>
        <w:t>经县政府批准，制定本方案。</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一、基本原则</w:t>
      </w:r>
    </w:p>
    <w:p>
      <w:pPr>
        <w:spacing w:line="600" w:lineRule="exact"/>
        <w:ind w:left="64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1、尊重历史，实事求是。</w:t>
      </w:r>
    </w:p>
    <w:p>
      <w:pPr>
        <w:spacing w:line="600" w:lineRule="exact"/>
        <w:ind w:left="64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2、依法依规，程序到位。</w:t>
      </w:r>
    </w:p>
    <w:p>
      <w:pPr>
        <w:spacing w:line="600" w:lineRule="exact"/>
        <w:ind w:left="64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3、公平公正，维护权益。</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二、处置范围</w:t>
      </w:r>
    </w:p>
    <w:p>
      <w:pPr>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b w:val="0"/>
          <w:bCs w:val="0"/>
          <w:color w:val="000000" w:themeColor="text1"/>
          <w:sz w:val="32"/>
          <w:szCs w:val="32"/>
          <w14:textFill>
            <w14:solidFill>
              <w14:schemeClr w14:val="tx1"/>
            </w14:solidFill>
          </w14:textFill>
        </w:rPr>
        <w:t>中心城区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（汉昌街道、天岳街道范围内）所有经县政府批准的安置区（安置地块）</w:t>
      </w:r>
      <w:r>
        <w:rPr>
          <w:rFonts w:hint="eastAsia" w:ascii="仿宋_GB2312" w:hAnsi="仿宋_GB2312" w:eastAsia="仿宋_GB2312" w:cs="仿宋_GB2312"/>
          <w:b w:val="0"/>
          <w:bCs w:val="0"/>
          <w:color w:val="FF0000"/>
          <w:sz w:val="32"/>
          <w:szCs w:val="32"/>
          <w:lang w:eastAsia="zh-CN"/>
        </w:rPr>
        <w:t>和因服从规划调整的置换地（以下统称为“安置地”</w:t>
      </w:r>
      <w:r>
        <w:rPr>
          <w:rFonts w:hint="eastAsia" w:ascii="仿宋_GB2312" w:hAnsi="仿宋_GB2312" w:eastAsia="仿宋_GB2312" w:cs="仿宋_GB2312"/>
          <w:b w:val="0"/>
          <w:bCs w:val="0"/>
          <w:color w:val="FF0000"/>
          <w:sz w:val="32"/>
          <w:szCs w:val="32"/>
          <w:lang w:val="en-US" w:eastAsia="zh-CN"/>
        </w:rPr>
        <w:t>)</w:t>
      </w:r>
      <w:r>
        <w:rPr>
          <w:rFonts w:hint="eastAsia" w:ascii="仿宋_GB2312" w:hAnsi="仿宋_GB2312" w:eastAsia="仿宋_GB2312" w:cs="仿宋_GB2312"/>
          <w:b w:val="0"/>
          <w:bCs w:val="0"/>
          <w:color w:val="FF0000"/>
          <w:sz w:val="32"/>
          <w:szCs w:val="32"/>
          <w:lang w:eastAsia="zh-CN"/>
        </w:rPr>
        <w:t>。</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三、工作目标</w:t>
      </w:r>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1、依法处理安置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hint="eastAsia" w:ascii="仿宋_GB2312" w:hAnsi="仿宋_GB2312" w:eastAsia="仿宋_GB2312" w:cs="仿宋_GB2312"/>
          <w:color w:val="000000" w:themeColor="text1"/>
          <w:sz w:val="32"/>
          <w:szCs w:val="32"/>
          <w:lang w:eastAsia="zh-CN"/>
          <w14:textFill>
            <w14:solidFill>
              <w14:schemeClr w14:val="tx1"/>
            </w14:solidFill>
          </w14:textFill>
        </w:rPr>
        <w:t>存在用地、规划、</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hint="eastAsia" w:ascii="仿宋_GB2312" w:hAnsi="仿宋_GB2312" w:eastAsia="仿宋_GB2312" w:cs="仿宋_GB2312"/>
          <w:color w:val="auto"/>
          <w:sz w:val="32"/>
          <w:szCs w:val="32"/>
          <w:lang w:eastAsia="zh-CN"/>
        </w:rPr>
        <w:t>等超层扩面</w:t>
      </w:r>
      <w:r>
        <w:rPr>
          <w:rFonts w:hint="eastAsia" w:ascii="仿宋_GB2312" w:hAnsi="仿宋_GB2312" w:eastAsia="仿宋_GB2312" w:cs="仿宋_GB2312"/>
          <w:color w:val="000000" w:themeColor="text1"/>
          <w:sz w:val="32"/>
          <w:szCs w:val="32"/>
          <w14:textFill>
            <w14:solidFill>
              <w14:schemeClr w14:val="tx1"/>
            </w14:solidFill>
          </w14:textFill>
        </w:rPr>
        <w:t>违法行为。</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2、全面规范安置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规划和建设管理，完善安置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地建设各类</w:t>
      </w:r>
      <w:r>
        <w:rPr>
          <w:rFonts w:hint="eastAsia" w:ascii="仿宋_GB2312" w:hAnsi="仿宋_GB2312" w:eastAsia="仿宋_GB2312" w:cs="仿宋_GB2312"/>
          <w:color w:val="000000" w:themeColor="text1"/>
          <w:sz w:val="32"/>
          <w:szCs w:val="32"/>
          <w14:textFill>
            <w14:solidFill>
              <w14:schemeClr w14:val="tx1"/>
            </w14:solidFill>
          </w14:textFill>
        </w:rPr>
        <w:t>审批手续问题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60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依程序办理</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w:t>
      </w:r>
      <w:r>
        <w:rPr>
          <w:rFonts w:hint="eastAsia" w:ascii="仿宋_GB2312" w:hAnsi="仿宋_GB2312" w:eastAsia="仿宋_GB2312" w:cs="仿宋_GB2312"/>
          <w:color w:val="000000" w:themeColor="text1"/>
          <w:sz w:val="32"/>
          <w:szCs w:val="32"/>
          <w14:textFill>
            <w14:solidFill>
              <w14:schemeClr w14:val="tx1"/>
            </w14:solidFill>
          </w14:textFill>
        </w:rPr>
        <w:t>住房</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不动产权</w:t>
      </w:r>
      <w:r>
        <w:rPr>
          <w:rFonts w:hint="eastAsia" w:ascii="仿宋_GB2312" w:hAnsi="仿宋_GB2312" w:eastAsia="仿宋_GB2312" w:cs="仿宋_GB2312"/>
          <w:color w:val="000000" w:themeColor="text1"/>
          <w:sz w:val="32"/>
          <w:szCs w:val="32"/>
          <w:lang w:eastAsia="zh-CN"/>
          <w14:textFill>
            <w14:solidFill>
              <w14:schemeClr w14:val="tx1"/>
            </w14:solidFill>
          </w14:textFill>
        </w:rPr>
        <w:t>登记。</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四、工作步骤</w:t>
      </w:r>
    </w:p>
    <w:p>
      <w:pPr>
        <w:spacing w:line="60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（一）调查摸底阶段（202</w:t>
      </w: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9</w:t>
      </w:r>
      <w:r>
        <w:rPr>
          <w:rFonts w:hint="eastAsia" w:ascii="楷体" w:hAnsi="楷体" w:eastAsia="楷体" w:cs="楷体"/>
          <w:b/>
          <w:bCs/>
          <w:color w:val="000000" w:themeColor="text1"/>
          <w:sz w:val="32"/>
          <w:szCs w:val="32"/>
          <w14:textFill>
            <w14:solidFill>
              <w14:schemeClr w14:val="tx1"/>
            </w14:solidFill>
          </w14:textFill>
        </w:rPr>
        <w:t>月20日-202</w:t>
      </w: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月20日）</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对中心城区安置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地的坐落、土地权属来源、用地性质（使用权类型）、安置户名单、安置原因、</w:t>
      </w:r>
      <w:r>
        <w:rPr>
          <w:rFonts w:hint="eastAsia" w:ascii="仿宋_GB2312" w:hAnsi="仿宋_GB2312" w:eastAsia="仿宋_GB2312" w:cs="仿宋_GB2312"/>
          <w:color w:val="000000" w:themeColor="text1"/>
          <w:sz w:val="32"/>
          <w:szCs w:val="32"/>
          <w14:textFill>
            <w14:solidFill>
              <w14:schemeClr w14:val="tx1"/>
            </w14:solidFill>
          </w14:textFill>
        </w:rPr>
        <w:t>房屋位置、层数</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、建设状况</w:t>
      </w:r>
      <w:r>
        <w:rPr>
          <w:rFonts w:hint="eastAsia" w:ascii="仿宋_GB2312" w:hAnsi="仿宋_GB2312" w:eastAsia="仿宋_GB2312" w:cs="仿宋_GB2312"/>
          <w:color w:val="000000" w:themeColor="text1"/>
          <w:sz w:val="32"/>
          <w:szCs w:val="32"/>
          <w14:textFill>
            <w14:solidFill>
              <w14:schemeClr w14:val="tx1"/>
            </w14:solidFill>
          </w14:textFill>
        </w:rPr>
        <w:t>等基本信息进行摸底，形成台账。（责任单位：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城投中心、</w:t>
      </w:r>
      <w:r>
        <w:rPr>
          <w:rFonts w:hint="eastAsia" w:ascii="仿宋_GB2312" w:hAnsi="仿宋_GB2312" w:eastAsia="仿宋_GB2312" w:cs="仿宋_GB2312"/>
          <w:color w:val="000000" w:themeColor="text1"/>
          <w:sz w:val="32"/>
          <w:szCs w:val="32"/>
          <w14:textFill>
            <w14:solidFill>
              <w14:schemeClr w14:val="tx1"/>
            </w14:solidFill>
          </w14:textFill>
        </w:rPr>
        <w:t>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自然资源局、住建局)</w:t>
      </w:r>
    </w:p>
    <w:p>
      <w:pPr>
        <w:spacing w:line="60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（二）详细规划调整阶段（202</w:t>
      </w:r>
      <w:r>
        <w:rPr>
          <w:rFonts w:hint="eastAsia" w:ascii="楷体" w:hAnsi="楷体" w:eastAsia="楷体" w:cs="楷体"/>
          <w:b/>
          <w:bCs/>
          <w:color w:val="000000" w:themeColor="text1"/>
          <w:sz w:val="32"/>
          <w:szCs w:val="32"/>
          <w:lang w:val="en-US" w:eastAsia="zh-CN"/>
          <w14:textFill>
            <w14:solidFill>
              <w14:schemeClr w14:val="tx1"/>
            </w14:solidFill>
          </w14:textFill>
        </w:rPr>
        <w:t>4</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月</w:t>
      </w:r>
      <w:r>
        <w:rPr>
          <w:rFonts w:hint="eastAsia" w:ascii="楷体" w:hAnsi="楷体" w:eastAsia="楷体" w:cs="楷体"/>
          <w:b/>
          <w:bCs/>
          <w:color w:val="000000" w:themeColor="text1"/>
          <w:sz w:val="32"/>
          <w:szCs w:val="32"/>
          <w:lang w:val="en-US" w:eastAsia="zh-CN"/>
          <w14:textFill>
            <w14:solidFill>
              <w14:schemeClr w14:val="tx1"/>
            </w14:solidFill>
          </w14:textFill>
        </w:rPr>
        <w:t>1</w:t>
      </w:r>
      <w:r>
        <w:rPr>
          <w:rFonts w:hint="eastAsia" w:ascii="楷体" w:hAnsi="楷体" w:eastAsia="楷体" w:cs="楷体"/>
          <w:b/>
          <w:bCs/>
          <w:color w:val="000000" w:themeColor="text1"/>
          <w:sz w:val="32"/>
          <w:szCs w:val="32"/>
          <w14:textFill>
            <w14:solidFill>
              <w14:schemeClr w14:val="tx1"/>
            </w14:solidFill>
          </w14:textFill>
        </w:rPr>
        <w:t>日-202</w:t>
      </w:r>
      <w:r>
        <w:rPr>
          <w:rFonts w:hint="eastAsia" w:ascii="楷体" w:hAnsi="楷体" w:eastAsia="楷体" w:cs="楷体"/>
          <w:b/>
          <w:bCs/>
          <w:color w:val="000000" w:themeColor="text1"/>
          <w:sz w:val="32"/>
          <w:szCs w:val="32"/>
          <w:lang w:val="en-US" w:eastAsia="zh-CN"/>
          <w14:textFill>
            <w14:solidFill>
              <w14:schemeClr w14:val="tx1"/>
            </w14:solidFill>
          </w14:textFill>
        </w:rPr>
        <w:t>5</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12</w:t>
      </w:r>
      <w:r>
        <w:rPr>
          <w:rFonts w:hint="eastAsia" w:ascii="楷体" w:hAnsi="楷体" w:eastAsia="楷体" w:cs="楷体"/>
          <w:b/>
          <w:bCs/>
          <w:color w:val="000000" w:themeColor="text1"/>
          <w:sz w:val="32"/>
          <w:szCs w:val="32"/>
          <w14:textFill>
            <w14:solidFill>
              <w14:schemeClr w14:val="tx1"/>
            </w14:solidFill>
          </w14:textFill>
        </w:rPr>
        <w:t>月3</w:t>
      </w:r>
      <w:r>
        <w:rPr>
          <w:rFonts w:hint="eastAsia" w:ascii="楷体" w:hAnsi="楷体" w:eastAsia="楷体" w:cs="楷体"/>
          <w:b/>
          <w:bCs/>
          <w:color w:val="000000" w:themeColor="text1"/>
          <w:sz w:val="32"/>
          <w:szCs w:val="32"/>
          <w:lang w:val="en-US" w:eastAsia="zh-CN"/>
          <w14:textFill>
            <w14:solidFill>
              <w14:schemeClr w14:val="tx1"/>
            </w14:solidFill>
          </w14:textFill>
        </w:rPr>
        <w:t>0</w:t>
      </w:r>
      <w:r>
        <w:rPr>
          <w:rFonts w:hint="eastAsia" w:ascii="楷体" w:hAnsi="楷体" w:eastAsia="楷体" w:cs="楷体"/>
          <w:b/>
          <w:bCs/>
          <w:color w:val="000000" w:themeColor="text1"/>
          <w:sz w:val="32"/>
          <w:szCs w:val="32"/>
          <w14:textFill>
            <w14:solidFill>
              <w14:schemeClr w14:val="tx1"/>
            </w14:solidFill>
          </w14:textFill>
        </w:rPr>
        <w:t>日）</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启动安置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地修建性</w:t>
      </w:r>
      <w:r>
        <w:rPr>
          <w:rFonts w:hint="eastAsia" w:ascii="仿宋_GB2312" w:hAnsi="仿宋_GB2312" w:eastAsia="仿宋_GB2312" w:cs="仿宋_GB2312"/>
          <w:color w:val="000000" w:themeColor="text1"/>
          <w:sz w:val="32"/>
          <w:szCs w:val="32"/>
          <w14:textFill>
            <w14:solidFill>
              <w14:schemeClr w14:val="tx1"/>
            </w14:solidFill>
          </w14:textFill>
        </w:rPr>
        <w:t>详细规划评估工作，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分区块或分批次编制评估论证报告，</w:t>
      </w:r>
      <w:r>
        <w:rPr>
          <w:rFonts w:hint="eastAsia" w:ascii="仿宋_GB2312" w:hAnsi="仿宋_GB2312" w:eastAsia="仿宋_GB2312" w:cs="仿宋_GB2312"/>
          <w:color w:val="000000" w:themeColor="text1"/>
          <w:sz w:val="32"/>
          <w:szCs w:val="32"/>
          <w14:textFill>
            <w14:solidFill>
              <w14:schemeClr w14:val="tx1"/>
            </w14:solidFill>
          </w14:textFill>
        </w:rPr>
        <w:t>评估结果不影响规划用地性质、用地布局、内部交通组织、</w:t>
      </w:r>
      <w:r>
        <w:rPr>
          <w:rFonts w:hint="eastAsia" w:ascii="仿宋_GB2312" w:hAnsi="仿宋_GB2312" w:eastAsia="仿宋_GB2312" w:cs="仿宋_GB2312"/>
          <w:b w:val="0"/>
          <w:bCs w:val="0"/>
          <w:color w:val="000000" w:themeColor="text1"/>
          <w:sz w:val="32"/>
          <w:szCs w:val="32"/>
          <w14:textFill>
            <w14:solidFill>
              <w14:schemeClr w14:val="tx1"/>
            </w14:solidFill>
          </w14:textFill>
        </w:rPr>
        <w:t>安置地以外的公共消防安全、</w:t>
      </w:r>
      <w:r>
        <w:rPr>
          <w:rFonts w:hint="eastAsia" w:ascii="仿宋_GB2312" w:hAnsi="仿宋_GB2312" w:eastAsia="仿宋_GB2312" w:cs="仿宋_GB2312"/>
          <w:color w:val="000000" w:themeColor="text1"/>
          <w:sz w:val="32"/>
          <w:szCs w:val="32"/>
          <w14:textFill>
            <w14:solidFill>
              <w14:schemeClr w14:val="tx1"/>
            </w14:solidFill>
          </w14:textFill>
        </w:rPr>
        <w:t>公共设施与市政设施布局及相关强制性条文要求的，可视为不影响规划实施。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将评估结果公示并采取听证会的形式征求相关利害关系人意见且未收到任何异议后，即可</w:t>
      </w:r>
      <w:r>
        <w:rPr>
          <w:rFonts w:hint="eastAsia" w:ascii="仿宋_GB2312" w:hAnsi="仿宋_GB2312" w:eastAsia="仿宋_GB2312" w:cs="仿宋_GB2312"/>
          <w:color w:val="000000" w:themeColor="text1"/>
          <w:sz w:val="32"/>
          <w:szCs w:val="32"/>
          <w14:textFill>
            <w14:solidFill>
              <w14:schemeClr w14:val="tx1"/>
            </w14:solidFill>
          </w14:textFill>
        </w:rPr>
        <w:t>对该片区的</w:t>
      </w:r>
      <w:r>
        <w:rPr>
          <w:rFonts w:hint="eastAsia" w:ascii="仿宋_GB2312" w:hAnsi="仿宋_GB2312" w:eastAsia="仿宋_GB2312" w:cs="仿宋_GB2312"/>
          <w:color w:val="000000" w:themeColor="text1"/>
          <w:sz w:val="32"/>
          <w:szCs w:val="32"/>
          <w:lang w:eastAsia="zh-CN"/>
          <w14:textFill>
            <w14:solidFill>
              <w14:schemeClr w14:val="tx1"/>
            </w14:solidFill>
          </w14:textFill>
        </w:rPr>
        <w:t>修建</w:t>
      </w:r>
      <w:r>
        <w:rPr>
          <w:rFonts w:hint="eastAsia" w:ascii="仿宋_GB2312" w:hAnsi="仿宋_GB2312" w:eastAsia="仿宋_GB2312" w:cs="仿宋_GB2312"/>
          <w:color w:val="000000" w:themeColor="text1"/>
          <w:sz w:val="32"/>
          <w:szCs w:val="32"/>
          <w14:textFill>
            <w14:solidFill>
              <w14:schemeClr w14:val="tx1"/>
            </w14:solidFill>
          </w14:textFill>
        </w:rPr>
        <w:t>性详细规划进行调整，</w:t>
      </w:r>
      <w:r>
        <w:rPr>
          <w:rFonts w:hint="eastAsia" w:ascii="仿宋_GB2312" w:hAnsi="仿宋_GB2312" w:eastAsia="仿宋_GB2312" w:cs="仿宋_GB2312"/>
          <w:color w:val="000000" w:themeColor="text1"/>
          <w:sz w:val="32"/>
          <w:szCs w:val="32"/>
          <w:lang w:eastAsia="zh-CN"/>
          <w14:textFill>
            <w14:solidFill>
              <w14:schemeClr w14:val="tx1"/>
            </w14:solidFill>
          </w14:textFill>
        </w:rPr>
        <w:t>并下达审查意见。调整后地块指标突破原有控制性详细规划的且位于正在编制控制性详细规划片区范围内的直接纳入新修编的控规进行调整</w:t>
      </w:r>
      <w:r>
        <w:rPr>
          <w:rFonts w:hint="eastAsia" w:ascii="仿宋_GB2312" w:hAnsi="仿宋_GB2312" w:eastAsia="仿宋_GB2312" w:cs="仿宋_GB2312"/>
          <w:color w:val="000000" w:themeColor="text1"/>
          <w:sz w:val="32"/>
          <w:szCs w:val="32"/>
          <w14:textFill>
            <w14:solidFill>
              <w14:schemeClr w14:val="tx1"/>
            </w14:solidFill>
          </w14:textFill>
        </w:rPr>
        <w:t>。（责任单位：县自然资源局）</w:t>
      </w:r>
    </w:p>
    <w:p>
      <w:pPr>
        <w:spacing w:line="600" w:lineRule="exact"/>
        <w:ind w:firstLine="643" w:firstLineChars="200"/>
        <w:rPr>
          <w:rFonts w:ascii="楷体" w:hAnsi="楷体" w:eastAsia="楷体" w:cs="楷体"/>
          <w:b/>
          <w:bCs/>
          <w:color w:val="000000" w:themeColor="text1"/>
          <w:spacing w:val="-1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）查</w:t>
      </w:r>
      <w:r>
        <w:rPr>
          <w:rFonts w:hint="eastAsia" w:ascii="楷体" w:hAnsi="楷体" w:eastAsia="楷体" w:cs="楷体"/>
          <w:b/>
          <w:bCs/>
          <w:color w:val="000000" w:themeColor="text1"/>
          <w:spacing w:val="-11"/>
          <w:sz w:val="32"/>
          <w:szCs w:val="32"/>
          <w14:textFill>
            <w14:solidFill>
              <w14:schemeClr w14:val="tx1"/>
            </w14:solidFill>
          </w14:textFill>
        </w:rPr>
        <w:t>处整改阶段（202</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4</w:t>
      </w:r>
      <w:r>
        <w:rPr>
          <w:rFonts w:hint="eastAsia" w:ascii="楷体" w:hAnsi="楷体" w:eastAsia="楷体" w:cs="楷体"/>
          <w:b/>
          <w:bCs/>
          <w:color w:val="000000" w:themeColor="text1"/>
          <w:spacing w:val="-11"/>
          <w:sz w:val="32"/>
          <w:szCs w:val="32"/>
          <w14:textFill>
            <w14:solidFill>
              <w14:schemeClr w14:val="tx1"/>
            </w14:solidFill>
          </w14:textFill>
        </w:rPr>
        <w:t>年</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10</w:t>
      </w:r>
      <w:r>
        <w:rPr>
          <w:rFonts w:hint="eastAsia" w:ascii="楷体" w:hAnsi="楷体" w:eastAsia="楷体" w:cs="楷体"/>
          <w:b/>
          <w:bCs/>
          <w:color w:val="000000" w:themeColor="text1"/>
          <w:spacing w:val="-11"/>
          <w:sz w:val="32"/>
          <w:szCs w:val="32"/>
          <w14:textFill>
            <w14:solidFill>
              <w14:schemeClr w14:val="tx1"/>
            </w14:solidFill>
          </w14:textFill>
        </w:rPr>
        <w:t>月1日-202</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9</w:t>
      </w:r>
      <w:r>
        <w:rPr>
          <w:rFonts w:hint="eastAsia" w:ascii="楷体" w:hAnsi="楷体" w:eastAsia="楷体" w:cs="楷体"/>
          <w:b/>
          <w:bCs/>
          <w:color w:val="000000" w:themeColor="text1"/>
          <w:spacing w:val="-11"/>
          <w:sz w:val="32"/>
          <w:szCs w:val="32"/>
          <w14:textFill>
            <w14:solidFill>
              <w14:schemeClr w14:val="tx1"/>
            </w14:solidFill>
          </w14:textFill>
        </w:rPr>
        <w:t>年</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12</w:t>
      </w:r>
      <w:r>
        <w:rPr>
          <w:rFonts w:hint="eastAsia" w:ascii="楷体" w:hAnsi="楷体" w:eastAsia="楷体" w:cs="楷体"/>
          <w:b/>
          <w:bCs/>
          <w:color w:val="000000" w:themeColor="text1"/>
          <w:spacing w:val="-11"/>
          <w:sz w:val="32"/>
          <w:szCs w:val="32"/>
          <w14:textFill>
            <w14:solidFill>
              <w14:schemeClr w14:val="tx1"/>
            </w14:solidFill>
          </w14:textFill>
        </w:rPr>
        <w:t>月</w:t>
      </w:r>
      <w:r>
        <w:rPr>
          <w:rFonts w:hint="eastAsia" w:ascii="楷体" w:hAnsi="楷体" w:eastAsia="楷体" w:cs="楷体"/>
          <w:b/>
          <w:bCs/>
          <w:color w:val="000000" w:themeColor="text1"/>
          <w:spacing w:val="-11"/>
          <w:sz w:val="32"/>
          <w:szCs w:val="32"/>
          <w:lang w:val="en-US" w:eastAsia="zh-CN"/>
          <w14:textFill>
            <w14:solidFill>
              <w14:schemeClr w14:val="tx1"/>
            </w14:solidFill>
          </w14:textFill>
        </w:rPr>
        <w:t>30</w:t>
      </w:r>
      <w:r>
        <w:rPr>
          <w:rFonts w:hint="eastAsia" w:ascii="楷体" w:hAnsi="楷体" w:eastAsia="楷体" w:cs="楷体"/>
          <w:b/>
          <w:bCs/>
          <w:color w:val="000000" w:themeColor="text1"/>
          <w:spacing w:val="-11"/>
          <w:sz w:val="32"/>
          <w:szCs w:val="32"/>
          <w14:textFill>
            <w14:solidFill>
              <w14:schemeClr w14:val="tx1"/>
            </w14:solidFill>
          </w14:textFill>
        </w:rPr>
        <w:t>日）</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存在有</w:t>
      </w:r>
      <w:r>
        <w:rPr>
          <w:rFonts w:hint="eastAsia" w:ascii="仿宋_GB2312" w:hAnsi="仿宋_GB2312" w:eastAsia="仿宋_GB2312" w:cs="仿宋_GB2312"/>
          <w:color w:val="auto"/>
          <w:sz w:val="32"/>
          <w:szCs w:val="32"/>
          <w:lang w:eastAsia="zh-CN"/>
        </w:rPr>
        <w:t>超层扩面</w:t>
      </w:r>
      <w:r>
        <w:rPr>
          <w:rFonts w:hint="eastAsia" w:ascii="仿宋_GB2312" w:hAnsi="仿宋_GB2312" w:eastAsia="仿宋_GB2312" w:cs="仿宋_GB2312"/>
          <w:color w:val="000000" w:themeColor="text1"/>
          <w:sz w:val="32"/>
          <w:szCs w:val="32"/>
          <w14:textFill>
            <w14:solidFill>
              <w14:schemeClr w14:val="tx1"/>
            </w14:solidFill>
          </w14:textFill>
        </w:rPr>
        <w:t>违法行为的安置户，先对其房屋质量进行安全鉴定，质量安全鉴定报告合格、无安全隐患的房屋，依法依规进行查处</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；工程造价、工程合同价格通过市场调查确定</w:t>
      </w:r>
      <w:r>
        <w:rPr>
          <w:rFonts w:hint="eastAsia" w:ascii="仿宋_GB2312" w:hAnsi="仿宋_GB2312" w:eastAsia="仿宋_GB2312" w:cs="仿宋_GB2312"/>
          <w:color w:val="000000" w:themeColor="text1"/>
          <w:sz w:val="32"/>
          <w:szCs w:val="32"/>
          <w14:textFill>
            <w14:solidFill>
              <w14:schemeClr w14:val="tx1"/>
            </w14:solidFill>
          </w14:textFill>
        </w:rPr>
        <w:t>（责任单位：县自然资源局、</w:t>
      </w:r>
      <w:r>
        <w:rPr>
          <w:rFonts w:hint="eastAsia" w:ascii="仿宋_GB2312" w:hAnsi="仿宋_GB2312" w:eastAsia="仿宋_GB2312" w:cs="仿宋_GB2312"/>
          <w:color w:val="000000" w:themeColor="text1"/>
          <w:sz w:val="32"/>
          <w:szCs w:val="32"/>
          <w:lang w:eastAsia="zh-CN"/>
          <w14:textFill>
            <w14:solidFill>
              <w14:schemeClr w14:val="tx1"/>
            </w14:solidFill>
          </w14:textFill>
        </w:rPr>
        <w:t>县住建局、</w:t>
      </w:r>
      <w:r>
        <w:rPr>
          <w:rFonts w:hint="eastAsia" w:ascii="仿宋_GB2312" w:hAnsi="仿宋_GB2312" w:eastAsia="仿宋_GB2312" w:cs="仿宋_GB2312"/>
          <w:color w:val="000000" w:themeColor="text1"/>
          <w:sz w:val="32"/>
          <w:szCs w:val="32"/>
          <w14:textFill>
            <w14:solidFill>
              <w14:schemeClr w14:val="tx1"/>
            </w14:solidFill>
          </w14:textFill>
        </w:rPr>
        <w:t>县城市管理和综合执法局）</w:t>
      </w:r>
    </w:p>
    <w:p>
      <w:pPr>
        <w:spacing w:line="600" w:lineRule="exact"/>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四</w:t>
      </w:r>
      <w:r>
        <w:rPr>
          <w:rFonts w:hint="eastAsia" w:ascii="楷体" w:hAnsi="楷体" w:eastAsia="楷体" w:cs="楷体"/>
          <w:b/>
          <w:bCs/>
          <w:color w:val="000000" w:themeColor="text1"/>
          <w:sz w:val="32"/>
          <w:szCs w:val="32"/>
          <w14:textFill>
            <w14:solidFill>
              <w14:schemeClr w14:val="tx1"/>
            </w14:solidFill>
          </w14:textFill>
        </w:rPr>
        <w:t>）完善手续阶段（2024年</w:t>
      </w:r>
      <w:r>
        <w:rPr>
          <w:rFonts w:hint="eastAsia" w:ascii="楷体" w:hAnsi="楷体" w:eastAsia="楷体" w:cs="楷体"/>
          <w:b/>
          <w:bCs/>
          <w:color w:val="000000" w:themeColor="text1"/>
          <w:sz w:val="32"/>
          <w:szCs w:val="32"/>
          <w:lang w:val="en-US" w:eastAsia="zh-CN"/>
          <w14:textFill>
            <w14:solidFill>
              <w14:schemeClr w14:val="tx1"/>
            </w14:solidFill>
          </w14:textFill>
        </w:rPr>
        <w:t>10</w:t>
      </w:r>
      <w:r>
        <w:rPr>
          <w:rFonts w:hint="eastAsia" w:ascii="楷体" w:hAnsi="楷体" w:eastAsia="楷体" w:cs="楷体"/>
          <w:b/>
          <w:bCs/>
          <w:color w:val="000000" w:themeColor="text1"/>
          <w:sz w:val="32"/>
          <w:szCs w:val="32"/>
          <w14:textFill>
            <w14:solidFill>
              <w14:schemeClr w14:val="tx1"/>
            </w14:solidFill>
          </w14:textFill>
        </w:rPr>
        <w:t>月1日-202</w:t>
      </w:r>
      <w:r>
        <w:rPr>
          <w:rFonts w:hint="eastAsia" w:ascii="楷体" w:hAnsi="楷体" w:eastAsia="楷体" w:cs="楷体"/>
          <w:b/>
          <w:bCs/>
          <w:color w:val="000000" w:themeColor="text1"/>
          <w:sz w:val="32"/>
          <w:szCs w:val="32"/>
          <w:lang w:val="en-US" w:eastAsia="zh-CN"/>
          <w14:textFill>
            <w14:solidFill>
              <w14:schemeClr w14:val="tx1"/>
            </w14:solidFill>
          </w14:textFill>
        </w:rPr>
        <w:t>9</w:t>
      </w:r>
      <w:r>
        <w:rPr>
          <w:rFonts w:hint="eastAsia" w:ascii="楷体" w:hAnsi="楷体" w:eastAsia="楷体" w:cs="楷体"/>
          <w:b/>
          <w:bCs/>
          <w:color w:val="000000" w:themeColor="text1"/>
          <w:sz w:val="32"/>
          <w:szCs w:val="32"/>
          <w14:textFill>
            <w14:solidFill>
              <w14:schemeClr w14:val="tx1"/>
            </w14:solidFill>
          </w14:textFill>
        </w:rPr>
        <w:t>年</w:t>
      </w:r>
      <w:r>
        <w:rPr>
          <w:rFonts w:hint="eastAsia" w:ascii="楷体" w:hAnsi="楷体" w:eastAsia="楷体" w:cs="楷体"/>
          <w:b/>
          <w:bCs/>
          <w:color w:val="000000" w:themeColor="text1"/>
          <w:sz w:val="32"/>
          <w:szCs w:val="32"/>
          <w:lang w:val="en-US" w:eastAsia="zh-CN"/>
          <w14:textFill>
            <w14:solidFill>
              <w14:schemeClr w14:val="tx1"/>
            </w14:solidFill>
          </w14:textFill>
        </w:rPr>
        <w:t>12</w:t>
      </w:r>
      <w:r>
        <w:rPr>
          <w:rFonts w:hint="eastAsia" w:ascii="楷体" w:hAnsi="楷体" w:eastAsia="楷体" w:cs="楷体"/>
          <w:b/>
          <w:bCs/>
          <w:color w:val="000000" w:themeColor="text1"/>
          <w:sz w:val="32"/>
          <w:szCs w:val="32"/>
          <w14:textFill>
            <w14:solidFill>
              <w14:schemeClr w14:val="tx1"/>
            </w14:solidFill>
          </w14:textFill>
        </w:rPr>
        <w:t>月30日）</w:t>
      </w:r>
    </w:p>
    <w:p>
      <w:pPr>
        <w:spacing w:line="60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1、试点（2024年10月1日-2024年11月30日）</w:t>
      </w:r>
    </w:p>
    <w:p>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由汉昌街道、天岳街道各自选择辖区内有代表性、完善手续意愿较为强烈的一到两个安置区（点）或安置地块，开展试点工作，总结试点经验，进一步优化工作措施。</w:t>
      </w:r>
    </w:p>
    <w:p>
      <w:pPr>
        <w:spacing w:line="600" w:lineRule="exac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2、全面开展（2024年12月1日-2029年12月30日）</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按照先处置使用国有建设用地安置地块、后处置使用集体建设用地安置地块的顺序，</w:t>
      </w:r>
      <w:r>
        <w:rPr>
          <w:rFonts w:hint="eastAsia" w:ascii="仿宋_GB2312" w:hAnsi="仿宋_GB2312" w:eastAsia="仿宋_GB2312" w:cs="仿宋_GB2312"/>
          <w:color w:val="000000" w:themeColor="text1"/>
          <w:sz w:val="32"/>
          <w:szCs w:val="32"/>
          <w14:textFill>
            <w14:solidFill>
              <w14:schemeClr w14:val="tx1"/>
            </w14:solidFill>
          </w14:textFill>
        </w:rPr>
        <w:t>依程序办</w:t>
      </w:r>
      <w:r>
        <w:rPr>
          <w:rFonts w:hint="eastAsia" w:ascii="仿宋_GB2312" w:hAnsi="仿宋_GB2312" w:eastAsia="仿宋_GB2312" w:cs="仿宋_GB2312"/>
          <w:color w:val="000000" w:themeColor="text1"/>
          <w:sz w:val="32"/>
          <w:szCs w:val="32"/>
          <w:lang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相关手续。</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（责任单位：汉昌街道、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县自然资源局、县住建局、县税务局、行政审批服务局）</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五、具体措施</w:t>
      </w:r>
    </w:p>
    <w:p>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w:t>
      </w:r>
      <w:bookmarkStart w:id="0" w:name="_Hlk131338570"/>
      <w:bookmarkEnd w:id="0"/>
      <w:r>
        <w:rPr>
          <w:rFonts w:hint="eastAsia" w:ascii="楷体" w:hAnsi="楷体" w:eastAsia="楷体" w:cs="楷体"/>
          <w:b/>
          <w:bCs/>
          <w:color w:val="000000" w:themeColor="text1"/>
          <w:sz w:val="32"/>
          <w:szCs w:val="32"/>
          <w14:textFill>
            <w14:solidFill>
              <w14:schemeClr w14:val="tx1"/>
            </w14:solidFill>
          </w14:textFill>
        </w:rPr>
        <w:t>行政处罚</w:t>
      </w:r>
    </w:p>
    <w:p>
      <w:pPr>
        <w:spacing w:line="60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1、违法行为的确定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未取得建设工程规划许可证或者未按照建设工程规划许可证的规定进行建设的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超过批准的数量占用土地</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建设单位未取得施工许可证或者开工报告未经批准，擅自施工的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行政处罚的实施</w:t>
      </w:r>
    </w:p>
    <w:p>
      <w:pPr>
        <w:widowControl/>
        <w:spacing w:line="60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对安置户存在的土地、规划、建设</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color w:val="auto"/>
          <w:sz w:val="32"/>
          <w:szCs w:val="32"/>
          <w:lang w:eastAsia="zh-CN"/>
        </w:rPr>
        <w:t>超层扩面</w:t>
      </w:r>
      <w:r>
        <w:rPr>
          <w:rFonts w:hint="eastAsia" w:ascii="仿宋_GB2312" w:hAnsi="仿宋_GB2312" w:eastAsia="仿宋_GB2312" w:cs="仿宋_GB2312"/>
          <w:b w:val="0"/>
          <w:bCs w:val="0"/>
          <w:color w:val="000000" w:themeColor="text1"/>
          <w:sz w:val="32"/>
          <w:szCs w:val="32"/>
          <w14:textFill>
            <w14:solidFill>
              <w14:schemeClr w14:val="tx1"/>
            </w14:solidFill>
          </w14:textFill>
        </w:rPr>
        <w:t>违法行为实行联合执法。</w:t>
      </w:r>
    </w:p>
    <w:p>
      <w:pPr>
        <w:widowControl/>
        <w:spacing w:line="60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规划处罚</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以新建、扩建、改建存在违反城乡规划事实的建筑物、构筑物违法部分造价作为罚款基数，处建设工程造价5%的罚款</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土地违法行为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（含地下空间）</w:t>
      </w:r>
      <w:r>
        <w:rPr>
          <w:rFonts w:hint="eastAsia" w:ascii="仿宋_GB2312" w:hAnsi="仿宋_GB2312" w:eastAsia="仿宋_GB2312" w:cs="仿宋_GB2312"/>
          <w:b w:val="0"/>
          <w:bCs w:val="0"/>
          <w:color w:val="000000" w:themeColor="text1"/>
          <w:sz w:val="32"/>
          <w:szCs w:val="32"/>
          <w14:textFill>
            <w14:solidFill>
              <w14:schemeClr w14:val="tx1"/>
            </w14:solidFill>
          </w14:textFill>
        </w:rPr>
        <w:t>一并纳入规划行政处罚中处理。建设违法行为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（含地下空间）</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处</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建设</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工程</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合同价款</w:t>
      </w:r>
      <w:r>
        <w:rPr>
          <w:rFonts w:hint="eastAsia" w:ascii="仿宋_GB2312" w:hAnsi="仿宋_GB2312" w:eastAsia="仿宋_GB2312" w:cs="仿宋_GB2312"/>
          <w:b w:val="0"/>
          <w:bCs w:val="0"/>
          <w:color w:val="000000" w:themeColor="text1"/>
          <w:kern w:val="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的罚款</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规划许可</w:t>
      </w:r>
    </w:p>
    <w:p>
      <w:pPr>
        <w:spacing w:line="600"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对存在规划违法行为的按以下办法处置：</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（1）已批未按规划许可进行建设的。依据调整后的修建性详细规划、依法查处的结案报告、房屋质量鉴定报告、规划核验报告补缴价款后直接颁发不动产证。</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（2）已批在建且已超出规划许可范围的。依法查处后，依据调整后的修建性详细规划重新办理规划条件，补缴价款后依程序重新办理建设用地规划许可、建设工程规划许可。</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（3）未批先建的。依法查处后，依据调整后的修建性详细规划办理规划条件，补缴价款后依程序办理建设用地规划许可、建设工程规划许可。</w:t>
      </w:r>
    </w:p>
    <w:p>
      <w:pPr>
        <w:spacing w:line="600" w:lineRule="exact"/>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2、对没有规划违法行为的按以下办法处置：</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（1）已批在建且未超出规划许可范围或已批未建的。依据调整后的修建性详细规划重新办理规划条件，补缴价款后依程序重新办理建设用地规划许可、建设工程规划</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许可。</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（2）未批未建设的。依据调整后的修建性详细规划办理规划条件，补缴价款后依程序办理建设用地规划许可、建设工程规划许可。</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安置户按原方案报建并按原方案实施的仍按原有相关批准手续登记发证。</w:t>
      </w:r>
    </w:p>
    <w:p>
      <w:pPr>
        <w:numPr>
          <w:ilvl w:val="0"/>
          <w:numId w:val="0"/>
        </w:num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3、集体土地上安置的，</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国有土地安置办理建设用地规划许可与建设工程规划许可。</w:t>
      </w:r>
    </w:p>
    <w:p>
      <w:pPr>
        <w:spacing w:line="60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4、地下空间。经评估论证通过后未影响规划实施的，按鼓励开发地下空间的原则结合地面建筑一并办理规划许可手续。</w:t>
      </w:r>
    </w:p>
    <w:p>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5、层数与面积的确定。安置地原则上以主体建筑四层为基准层数确定合法建筑面积；经依法批准主体建筑四层以上的按批准面积计算合法面积。</w:t>
      </w:r>
    </w:p>
    <w:p>
      <w:pPr>
        <w:numPr>
          <w:ilvl w:val="0"/>
          <w:numId w:val="0"/>
        </w:numPr>
        <w:spacing w:line="60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用途确定。已批准已建设的，以许可内容为准；未经批准已建设的，</w:t>
      </w:r>
      <w:r>
        <w:rPr>
          <w:rFonts w:hint="eastAsia" w:ascii="仿宋_GB2312" w:hAnsi="仿宋_GB2312" w:eastAsia="仿宋_GB2312" w:cs="仿宋_GB2312"/>
          <w:color w:val="000000" w:themeColor="text1"/>
          <w:sz w:val="32"/>
          <w:szCs w:val="32"/>
          <w14:textFill>
            <w14:solidFill>
              <w14:schemeClr w14:val="tx1"/>
            </w14:solidFill>
          </w14:textFill>
        </w:rPr>
        <w:t>规划用地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地上、地下</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建设用地使用权）用途</w:t>
      </w:r>
      <w:r>
        <w:rPr>
          <w:rFonts w:hint="eastAsia" w:ascii="仿宋_GB2312" w:hAnsi="仿宋_GB2312" w:eastAsia="仿宋_GB2312" w:cs="仿宋_GB2312"/>
          <w:color w:val="000000" w:themeColor="text1"/>
          <w:sz w:val="32"/>
          <w:szCs w:val="32"/>
          <w14:textFill>
            <w14:solidFill>
              <w14:schemeClr w14:val="tx1"/>
            </w14:solidFill>
          </w14:textFill>
        </w:rPr>
        <w:t>为住宅用地，建筑物结建地下空间、地上一层为居住服务设施，</w:t>
      </w:r>
      <w:r>
        <w:rPr>
          <w:rFonts w:hint="eastAsia" w:ascii="仿宋_GB2312" w:hAnsi="仿宋_GB2312" w:eastAsia="仿宋_GB2312" w:cs="仿宋_GB2312"/>
          <w:b w:val="0"/>
          <w:bCs w:val="0"/>
          <w:color w:val="000000" w:themeColor="text1"/>
          <w:sz w:val="32"/>
          <w:szCs w:val="32"/>
          <w14:textFill>
            <w14:solidFill>
              <w14:schemeClr w14:val="tx1"/>
            </w14:solidFill>
          </w14:textFill>
        </w:rPr>
        <w:t>二层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层高</w:t>
      </w:r>
      <w:r>
        <w:rPr>
          <w:rFonts w:hint="eastAsia" w:ascii="仿宋_GB2312" w:hAnsi="仿宋_GB2312" w:eastAsia="仿宋_GB2312" w:cs="仿宋_GB2312"/>
          <w:b w:val="0"/>
          <w:bCs w:val="0"/>
          <w:color w:val="000000" w:themeColor="text1"/>
          <w:sz w:val="32"/>
          <w:szCs w:val="32"/>
          <w14:textFill>
            <w14:solidFill>
              <w14:schemeClr w14:val="tx1"/>
            </w14:solidFill>
          </w14:textFill>
        </w:rPr>
        <w:t>3.3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米</w:t>
      </w:r>
      <w:r>
        <w:rPr>
          <w:rFonts w:hint="eastAsia" w:ascii="仿宋_GB2312" w:hAnsi="仿宋_GB2312" w:eastAsia="仿宋_GB2312" w:cs="仿宋_GB2312"/>
          <w:b w:val="0"/>
          <w:bCs w:val="0"/>
          <w:color w:val="000000" w:themeColor="text1"/>
          <w:sz w:val="32"/>
          <w:szCs w:val="32"/>
          <w14:textFill>
            <w14:solidFill>
              <w14:schemeClr w14:val="tx1"/>
            </w14:solidFill>
          </w14:textFill>
        </w:rPr>
        <w:t>以下为住宅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二层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层高</w:t>
      </w:r>
      <w:r>
        <w:rPr>
          <w:rFonts w:hint="eastAsia" w:ascii="仿宋_GB2312" w:hAnsi="仿宋_GB2312" w:eastAsia="仿宋_GB2312" w:cs="仿宋_GB2312"/>
          <w:b w:val="0"/>
          <w:bCs w:val="0"/>
          <w:color w:val="000000" w:themeColor="text1"/>
          <w:sz w:val="32"/>
          <w:szCs w:val="32"/>
          <w14:textFill>
            <w14:solidFill>
              <w14:schemeClr w14:val="tx1"/>
            </w14:solidFill>
          </w14:textFill>
        </w:rPr>
        <w:t>3.3以上为居住服务设</w:t>
      </w:r>
      <w:r>
        <w:rPr>
          <w:rFonts w:hint="eastAsia" w:ascii="仿宋_GB2312" w:hAnsi="仿宋_GB2312" w:eastAsia="仿宋_GB2312" w:cs="仿宋_GB2312"/>
          <w:color w:val="000000" w:themeColor="text1"/>
          <w:sz w:val="32"/>
          <w:szCs w:val="32"/>
          <w14:textFill>
            <w14:solidFill>
              <w14:schemeClr w14:val="tx1"/>
            </w14:solidFill>
          </w14:textFill>
        </w:rPr>
        <w:t>施</w:t>
      </w:r>
      <w:r>
        <w:rPr>
          <w:rFonts w:hint="eastAsia" w:ascii="仿宋_GB2312" w:hAnsi="仿宋_GB2312" w:eastAsia="仿宋_GB2312" w:cs="仿宋_GB2312"/>
          <w:color w:val="000000" w:themeColor="text1"/>
          <w:sz w:val="32"/>
          <w:szCs w:val="32"/>
          <w:lang w:eastAsia="zh-CN"/>
          <w14:textFill>
            <w14:solidFill>
              <w14:schemeClr w14:val="tx1"/>
            </w14:solidFill>
          </w14:textFill>
        </w:rPr>
        <w:t>，三层以上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为住宅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新建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依据规划条件与工程规划许可确定。</w:t>
      </w:r>
    </w:p>
    <w:p>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土地使用权处置</w:t>
      </w:r>
    </w:p>
    <w:p>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1" w:name="_Hlk131236296"/>
      <w:bookmarkEnd w:id="1"/>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、使用国有建设用地以划拨方式供地。</w:t>
      </w:r>
      <w:r>
        <w:rPr>
          <w:rFonts w:hint="eastAsia" w:ascii="仿宋_GB2312" w:hAnsi="仿宋_GB2312" w:eastAsia="仿宋_GB2312" w:cs="仿宋_GB2312"/>
          <w:color w:val="000000" w:themeColor="text1"/>
          <w:sz w:val="32"/>
          <w:szCs w:val="32"/>
          <w14:textFill>
            <w14:solidFill>
              <w14:schemeClr w14:val="tx1"/>
            </w14:solidFill>
          </w14:textFill>
        </w:rPr>
        <w:t>安置户凭安置证明办理划拨供地手续，对超出部分应征缴划拨土地价款，具体计算方式为：划拨土地价款=楼面地价（建筑物所在地块相对应基准地价的60％）×超出部分建筑面积×6％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使用国有建设用地以出让方式供地。</w:t>
      </w:r>
      <w:r>
        <w:rPr>
          <w:rFonts w:hint="eastAsia" w:ascii="仿宋_GB2312" w:hAnsi="仿宋_GB2312" w:eastAsia="仿宋_GB2312" w:cs="仿宋_GB2312"/>
          <w:b w:val="0"/>
          <w:bCs w:val="0"/>
          <w:color w:val="000000" w:themeColor="text1"/>
          <w:sz w:val="32"/>
          <w:szCs w:val="32"/>
          <w14:textFill>
            <w14:solidFill>
              <w14:schemeClr w14:val="tx1"/>
            </w14:solidFill>
          </w14:textFill>
        </w:rPr>
        <w:t>安置户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已缴纳土地出让金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对超出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建筑面积</w:t>
      </w:r>
      <w:r>
        <w:rPr>
          <w:rFonts w:hint="eastAsia" w:ascii="仿宋_GB2312" w:hAnsi="仿宋_GB2312" w:eastAsia="仿宋_GB2312" w:cs="仿宋_GB2312"/>
          <w:b w:val="0"/>
          <w:bCs w:val="0"/>
          <w:color w:val="000000" w:themeColor="text1"/>
          <w:sz w:val="32"/>
          <w:szCs w:val="32"/>
          <w14:textFill>
            <w14:solidFill>
              <w14:schemeClr w14:val="tx1"/>
            </w14:solidFill>
          </w14:textFill>
        </w:rPr>
        <w:t>部分征缴土地价款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具体计算方式为：土地价款=划拨土地价款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（楼面地价</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超出部分建筑面积</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划拨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转出让土地价款（楼面地价</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超出部分建筑面积</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已完成不动产</w:t>
      </w:r>
      <w:r>
        <w:rPr>
          <w:rFonts w:hint="eastAsia" w:ascii="仿宋_GB2312" w:hAnsi="仿宋_GB2312" w:eastAsia="仿宋_GB2312" w:cs="仿宋_GB2312"/>
          <w:color w:val="000000" w:themeColor="text1"/>
          <w:sz w:val="32"/>
          <w:szCs w:val="32"/>
          <w:lang w:eastAsia="zh-CN"/>
          <w14:textFill>
            <w14:solidFill>
              <w14:schemeClr w14:val="tx1"/>
            </w14:solidFill>
          </w14:textFill>
        </w:rPr>
        <w:t>权</w:t>
      </w:r>
      <w:r>
        <w:rPr>
          <w:rFonts w:hint="eastAsia" w:ascii="仿宋_GB2312" w:hAnsi="仿宋_GB2312" w:eastAsia="仿宋_GB2312" w:cs="仿宋_GB2312"/>
          <w:color w:val="000000" w:themeColor="text1"/>
          <w:sz w:val="32"/>
          <w:szCs w:val="32"/>
          <w14:textFill>
            <w14:solidFill>
              <w14:schemeClr w14:val="tx1"/>
            </w14:solidFill>
          </w14:textFill>
        </w:rPr>
        <w:t>首次登记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土地使用权为国有</w:t>
      </w:r>
      <w:r>
        <w:rPr>
          <w:rFonts w:hint="eastAsia" w:ascii="仿宋_GB2312" w:hAnsi="仿宋_GB2312" w:eastAsia="仿宋_GB2312" w:cs="仿宋_GB2312"/>
          <w:b w:val="0"/>
          <w:bCs w:val="0"/>
          <w:color w:val="000000" w:themeColor="text1"/>
          <w:sz w:val="32"/>
          <w:szCs w:val="32"/>
          <w14:textFill>
            <w14:solidFill>
              <w14:schemeClr w14:val="tx1"/>
            </w14:solidFill>
          </w14:textFill>
        </w:rPr>
        <w:t>划拨的安置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b w:val="0"/>
          <w:bCs w:val="0"/>
          <w:color w:val="000000" w:themeColor="text1"/>
          <w:sz w:val="32"/>
          <w:szCs w:val="32"/>
          <w14:textFill>
            <w14:solidFill>
              <w14:schemeClr w14:val="tx1"/>
            </w14:solidFill>
          </w14:textFill>
        </w:rPr>
        <w:t>住房转让</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color w:val="000000" w:themeColor="text1"/>
          <w:sz w:val="32"/>
          <w:szCs w:val="32"/>
          <w14:textFill>
            <w14:solidFill>
              <w14:schemeClr w14:val="tx1"/>
            </w14:solidFill>
          </w14:textFill>
        </w:rPr>
        <w:t>须按程序办理国有划拨土地使用权转让审批</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征缴</w:t>
      </w:r>
      <w:r>
        <w:rPr>
          <w:rFonts w:hint="eastAsia" w:ascii="仿宋_GB2312" w:hAnsi="仿宋_GB2312" w:eastAsia="仿宋_GB2312" w:cs="仿宋_GB2312"/>
          <w:color w:val="000000" w:themeColor="text1"/>
          <w:sz w:val="32"/>
          <w:szCs w:val="32"/>
          <w:lang w:eastAsia="zh-CN"/>
          <w14:textFill>
            <w14:solidFill>
              <w14:schemeClr w14:val="tx1"/>
            </w14:solidFill>
          </w14:textFill>
        </w:rPr>
        <w:t>土地价款，</w:t>
      </w:r>
      <w:r>
        <w:rPr>
          <w:rFonts w:hint="eastAsia" w:ascii="仿宋_GB2312" w:hAnsi="仿宋_GB2312" w:eastAsia="仿宋_GB2312" w:cs="仿宋_GB2312"/>
          <w:color w:val="000000" w:themeColor="text1"/>
          <w:sz w:val="32"/>
          <w:szCs w:val="32"/>
          <w14:textFill>
            <w14:solidFill>
              <w14:schemeClr w14:val="tx1"/>
            </w14:solidFill>
          </w14:textFill>
        </w:rPr>
        <w:t>具体计缴方式为：土地价款=楼面地价（建筑物所在地块相对应基准地价的60％）×建筑物面积×25％；</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使用集体建设用地的</w:t>
      </w:r>
      <w:r>
        <w:rPr>
          <w:rFonts w:hint="eastAsia" w:ascii="仿宋_GB2312" w:hAnsi="仿宋_GB2312" w:eastAsia="仿宋_GB2312" w:cs="仿宋_GB2312"/>
          <w:color w:val="000000" w:themeColor="text1"/>
          <w:sz w:val="32"/>
          <w:szCs w:val="32"/>
          <w14:textFill>
            <w14:solidFill>
              <w14:schemeClr w14:val="tx1"/>
            </w14:solidFill>
          </w14:textFill>
        </w:rPr>
        <w:t>安置户凭安置证明办理划拨供地手续，对超出部分</w:t>
      </w:r>
      <w:r>
        <w:rPr>
          <w:rFonts w:hint="eastAsia" w:ascii="仿宋_GB2312" w:hAnsi="仿宋_GB2312" w:eastAsia="仿宋_GB2312" w:cs="仿宋_GB2312"/>
          <w:color w:val="000000" w:themeColor="text1"/>
          <w:sz w:val="32"/>
          <w:szCs w:val="32"/>
          <w:lang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征缴土地价款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60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基准地价按照安置</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原修建性详细规划批准时所对应的基准地价确定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FF0000"/>
          <w:sz w:val="32"/>
          <w:szCs w:val="32"/>
          <w:lang w:eastAsia="zh-CN"/>
        </w:rPr>
        <w:t>因服从规划调整的置换地凭置换文件</w:t>
      </w:r>
      <w:r>
        <w:rPr>
          <w:rFonts w:hint="eastAsia" w:ascii="仿宋_GB2312" w:hAnsi="仿宋_GB2312" w:eastAsia="仿宋_GB2312" w:cs="仿宋_GB2312"/>
          <w:color w:val="FF0000"/>
          <w:sz w:val="32"/>
          <w:szCs w:val="32"/>
          <w:shd w:val="clear" w:color="auto" w:fill="FFFFFF"/>
        </w:rPr>
        <w:t>批准时所对应的基准地价确定</w:t>
      </w:r>
      <w:r>
        <w:rPr>
          <w:rFonts w:hint="eastAsia" w:ascii="仿宋_GB2312" w:hAnsi="仿宋_GB2312" w:eastAsia="仿宋_GB2312" w:cs="仿宋_GB2312"/>
          <w:color w:val="FF0000"/>
          <w:sz w:val="32"/>
          <w:szCs w:val="32"/>
          <w:shd w:val="clear" w:color="auto" w:fill="FFFFFF"/>
          <w:lang w:eastAsia="zh-CN"/>
        </w:rPr>
        <w:t>。</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在建或未建需补缴价款的安置地，按最新的</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基准地价</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核算。</w:t>
      </w:r>
    </w:p>
    <w:p>
      <w:pPr>
        <w:spacing w:line="600" w:lineRule="exact"/>
        <w:ind w:firstLine="640" w:firstLineChars="200"/>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已办理用地审批的，</w:t>
      </w:r>
      <w:r>
        <w:rPr>
          <w:rFonts w:hint="eastAsia" w:ascii="仿宋_GB2312" w:hAnsi="仿宋_GB2312" w:eastAsia="仿宋_GB2312" w:cs="仿宋_GB2312"/>
          <w:color w:val="000000" w:themeColor="text1"/>
          <w:sz w:val="32"/>
          <w:szCs w:val="32"/>
          <w14:textFill>
            <w14:solidFill>
              <w14:schemeClr w14:val="tx1"/>
            </w14:solidFill>
          </w14:textFill>
        </w:rPr>
        <w:t>出让年限以</w:t>
      </w:r>
      <w:r>
        <w:rPr>
          <w:rFonts w:hint="eastAsia" w:ascii="仿宋_GB2312" w:hAnsi="仿宋_GB2312" w:eastAsia="仿宋_GB2312" w:cs="仿宋_GB2312"/>
          <w:color w:val="000000" w:themeColor="text1"/>
          <w:sz w:val="32"/>
          <w:szCs w:val="32"/>
          <w:lang w:eastAsia="zh-CN"/>
          <w14:textFill>
            <w14:solidFill>
              <w14:schemeClr w14:val="tx1"/>
            </w14:solidFill>
          </w14:textFill>
        </w:rPr>
        <w:t>用地审批</w:t>
      </w: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土地使用权的起始时间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。未办理用地审批的，</w:t>
      </w:r>
      <w:r>
        <w:rPr>
          <w:rFonts w:hint="eastAsia" w:ascii="仿宋_GB2312" w:hAnsi="仿宋_GB2312" w:eastAsia="仿宋_GB2312" w:cs="仿宋_GB2312"/>
          <w:color w:val="000000" w:themeColor="text1"/>
          <w:sz w:val="32"/>
          <w:szCs w:val="32"/>
          <w14:textFill>
            <w14:solidFill>
              <w14:schemeClr w14:val="tx1"/>
            </w14:solidFill>
          </w14:textFill>
        </w:rPr>
        <w:t>出让年限以安置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原修建性详细规划批准时间作为土地使用权的起始时间，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使用国有建设用地的出让</w:t>
      </w:r>
      <w:r>
        <w:rPr>
          <w:rFonts w:hint="eastAsia" w:ascii="仿宋_GB2312" w:hAnsi="仿宋_GB2312" w:eastAsia="仿宋_GB2312" w:cs="仿宋_GB2312"/>
          <w:color w:val="000000" w:themeColor="text1"/>
          <w:sz w:val="32"/>
          <w:szCs w:val="32"/>
          <w14:textFill>
            <w14:solidFill>
              <w14:schemeClr w14:val="tx1"/>
            </w14:solidFill>
          </w14:textFill>
        </w:rPr>
        <w:t>年限为70年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使用集体建设用地的</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不设使用年限。</w:t>
      </w:r>
    </w:p>
    <w:p>
      <w:pPr>
        <w:spacing w:line="600" w:lineRule="exact"/>
        <w:ind w:firstLine="643"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（四）</w:t>
      </w:r>
      <w:r>
        <w:rPr>
          <w:rFonts w:hint="eastAsia" w:ascii="楷体" w:hAnsi="楷体" w:eastAsia="楷体" w:cs="楷体"/>
          <w:b/>
          <w:bCs/>
          <w:color w:val="000000" w:themeColor="text1"/>
          <w:sz w:val="32"/>
          <w:szCs w:val="32"/>
          <w14:textFill>
            <w14:solidFill>
              <w14:schemeClr w14:val="tx1"/>
            </w14:solidFill>
          </w14:textFill>
        </w:rPr>
        <w:t>房屋质量安全鉴定及备案</w:t>
      </w:r>
    </w:p>
    <w:p>
      <w:pPr>
        <w:spacing w:line="60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房屋报建手续不全、施工技术资料缺失、相关参建主体缺失或不配合等原因难以实现竣工验收的，由经公开遴选的检测鉴定机构对房屋基础、主体等建筑物质量安全进行检测、鉴定，出具房屋安全检测鉴定报告书并经住建部门备案后，可作为办理不动产登记时“房屋符合竣工验收的材料”。</w:t>
      </w:r>
    </w:p>
    <w:p>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eastAsia" w:ascii="楷体" w:hAnsi="楷体" w:eastAsia="楷体" w:cs="楷体"/>
          <w:b/>
          <w:bCs/>
          <w:color w:val="000000" w:themeColor="text1"/>
          <w:sz w:val="32"/>
          <w:szCs w:val="32"/>
          <w14:textFill>
            <w14:solidFill>
              <w14:schemeClr w14:val="tx1"/>
            </w14:solidFill>
          </w14:textFill>
        </w:rPr>
        <w:t>城市基础设施配套费</w:t>
      </w:r>
      <w:r>
        <w:rPr>
          <w:rFonts w:hint="eastAsia" w:ascii="楷体" w:hAnsi="楷体" w:eastAsia="楷体" w:cs="楷体"/>
          <w:b/>
          <w:bCs/>
          <w:color w:val="000000" w:themeColor="text1"/>
          <w:sz w:val="32"/>
          <w:szCs w:val="32"/>
          <w:lang w:eastAsia="zh-CN"/>
          <w14:textFill>
            <w14:solidFill>
              <w14:schemeClr w14:val="tx1"/>
            </w14:solidFill>
          </w14:textFill>
        </w:rPr>
        <w:t>和防空地下室易地建设费</w:t>
      </w:r>
      <w:r>
        <w:rPr>
          <w:rFonts w:hint="eastAsia" w:ascii="楷体" w:hAnsi="楷体" w:eastAsia="楷体" w:cs="楷体"/>
          <w:b/>
          <w:bCs/>
          <w:color w:val="000000" w:themeColor="text1"/>
          <w:sz w:val="32"/>
          <w:szCs w:val="32"/>
          <w14:textFill>
            <w14:solidFill>
              <w14:schemeClr w14:val="tx1"/>
            </w14:solidFill>
          </w14:textFill>
        </w:rPr>
        <w:t>的征收</w:t>
      </w:r>
    </w:p>
    <w:p>
      <w:pPr>
        <w:spacing w:line="600" w:lineRule="exact"/>
        <w:ind w:firstLine="643"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城市基础设施配套费</w:t>
      </w:r>
    </w:p>
    <w:p>
      <w:pPr>
        <w:spacing w:line="600" w:lineRule="exact"/>
        <w:ind w:firstLine="640"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对超建部份</w:t>
      </w:r>
      <w:r>
        <w:rPr>
          <w:rFonts w:hint="eastAsia" w:ascii="仿宋_GB2312" w:hAnsi="仿宋_GB2312" w:eastAsia="仿宋_GB2312" w:cs="仿宋_GB2312"/>
          <w:b w:val="0"/>
          <w:bCs w:val="0"/>
          <w:color w:val="000000" w:themeColor="text1"/>
          <w:sz w:val="32"/>
          <w:szCs w:val="32"/>
          <w14:textFill>
            <w14:solidFill>
              <w14:schemeClr w14:val="tx1"/>
            </w14:solidFill>
          </w14:textFill>
        </w:rPr>
        <w:t>按每平方米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0元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标准征收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numPr>
          <w:ilvl w:val="0"/>
          <w:numId w:val="1"/>
        </w:numPr>
        <w:spacing w:line="600" w:lineRule="exact"/>
        <w:ind w:firstLine="643" w:firstLineChars="200"/>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eastAsia="zh-CN"/>
          <w14:textFill>
            <w14:solidFill>
              <w14:schemeClr w14:val="tx1"/>
            </w14:solidFill>
          </w14:textFill>
        </w:rPr>
        <w:t>防空地下室易地建设费</w:t>
      </w:r>
    </w:p>
    <w:p>
      <w:pPr>
        <w:numPr>
          <w:ilvl w:val="0"/>
          <w:numId w:val="0"/>
        </w:numPr>
        <w:spacing w:line="600" w:lineRule="exact"/>
        <w:ind w:firstLine="640" w:firstLineChars="200"/>
        <w:rPr>
          <w:rFonts w:hint="default"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对超建部份</w:t>
      </w:r>
      <w:r>
        <w:rPr>
          <w:rFonts w:hint="eastAsia" w:ascii="仿宋_GB2312" w:hAnsi="仿宋_GB2312" w:eastAsia="仿宋_GB2312" w:cs="仿宋_GB2312"/>
          <w:b w:val="0"/>
          <w:bCs w:val="0"/>
          <w:color w:val="000000" w:themeColor="text1"/>
          <w:sz w:val="32"/>
          <w:szCs w:val="32"/>
          <w14:textFill>
            <w14:solidFill>
              <w14:schemeClr w14:val="tx1"/>
            </w14:solidFill>
          </w14:textFill>
        </w:rPr>
        <w:t>按</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2009年前免征；2009年至2014年</w:t>
      </w:r>
      <w:r>
        <w:rPr>
          <w:rFonts w:hint="eastAsia" w:ascii="仿宋_GB2312" w:hAnsi="仿宋_GB2312" w:eastAsia="仿宋_GB2312" w:cs="仿宋_GB2312"/>
          <w:b w:val="0"/>
          <w:bCs w:val="0"/>
          <w:color w:val="000000" w:themeColor="text1"/>
          <w:sz w:val="32"/>
          <w:szCs w:val="32"/>
          <w14:textFill>
            <w14:solidFill>
              <w14:schemeClr w14:val="tx1"/>
            </w14:solidFill>
          </w14:textFill>
        </w:rPr>
        <w:t>每平方米</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10元；2014年后</w:t>
      </w:r>
      <w:r>
        <w:rPr>
          <w:rFonts w:hint="eastAsia" w:ascii="仿宋_GB2312" w:hAnsi="仿宋_GB2312" w:eastAsia="仿宋_GB2312" w:cs="仿宋_GB2312"/>
          <w:b w:val="0"/>
          <w:bCs w:val="0"/>
          <w:color w:val="000000" w:themeColor="text1"/>
          <w:sz w:val="32"/>
          <w:szCs w:val="32"/>
          <w14:textFill>
            <w14:solidFill>
              <w14:schemeClr w14:val="tx1"/>
            </w14:solidFill>
          </w14:textFill>
        </w:rPr>
        <w:t>每平方米</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20.48元的标准征收。</w:t>
      </w:r>
    </w:p>
    <w:p>
      <w:pPr>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14:textFill>
            <w14:solidFill>
              <w14:schemeClr w14:val="tx1"/>
            </w14:solidFill>
          </w14:textFill>
        </w:rPr>
        <w:t>契税缴纳标准</w:t>
      </w:r>
    </w:p>
    <w:p>
      <w:pPr>
        <w:tabs>
          <w:tab w:val="left" w:pos="1598"/>
        </w:tabs>
        <w:spacing w:line="600" w:lineRule="exact"/>
        <w:ind w:firstLine="640"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划拨土地转出让土地价款契税按</w:t>
      </w:r>
      <w:r>
        <w:rPr>
          <w:rFonts w:hint="eastAsia" w:ascii="仿宋_GB2312" w:hAnsi="仿宋_GB2312" w:eastAsia="仿宋_GB2312" w:cs="仿宋_GB2312"/>
          <w:color w:val="000000" w:themeColor="text1"/>
          <w:sz w:val="32"/>
          <w:szCs w:val="32"/>
          <w:lang w:eastAsia="zh-CN"/>
          <w14:textFill>
            <w14:solidFill>
              <w14:schemeClr w14:val="tx1"/>
            </w14:solidFill>
          </w14:textFill>
        </w:rPr>
        <w:t>征</w:t>
      </w:r>
      <w:r>
        <w:rPr>
          <w:rFonts w:hint="eastAsia" w:ascii="仿宋_GB2312" w:hAnsi="仿宋_GB2312" w:eastAsia="仿宋_GB2312" w:cs="仿宋_GB2312"/>
          <w:color w:val="000000" w:themeColor="text1"/>
          <w:sz w:val="32"/>
          <w:szCs w:val="32"/>
          <w14:textFill>
            <w14:solidFill>
              <w14:schemeClr w14:val="tx1"/>
            </w14:solidFill>
          </w14:textFill>
        </w:rPr>
        <w:t>缴土地价款的4%计算；房屋转让契税按现行转让政策</w:t>
      </w:r>
      <w:r>
        <w:rPr>
          <w:rFonts w:hint="eastAsia" w:ascii="仿宋_GB2312" w:hAnsi="仿宋_GB2312" w:eastAsia="仿宋_GB2312" w:cs="仿宋_GB2312"/>
          <w:color w:val="000000" w:themeColor="text1"/>
          <w:sz w:val="32"/>
          <w:szCs w:val="32"/>
          <w:lang w:eastAsia="zh-CN"/>
          <w14:textFill>
            <w14:solidFill>
              <w14:schemeClr w14:val="tx1"/>
            </w14:solidFill>
          </w14:textFill>
        </w:rPr>
        <w:t>执行。</w:t>
      </w:r>
    </w:p>
    <w:p>
      <w:pPr>
        <w:tabs>
          <w:tab w:val="left" w:pos="1598"/>
        </w:tabs>
        <w:spacing w:line="600" w:lineRule="exact"/>
        <w:ind w:firstLine="643"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val="en-US" w:eastAsia="zh-CN"/>
          <w14:textFill>
            <w14:solidFill>
              <w14:schemeClr w14:val="tx1"/>
            </w14:solidFill>
          </w14:textFill>
        </w:rPr>
        <w:t>（七）</w:t>
      </w:r>
      <w:r>
        <w:rPr>
          <w:rFonts w:hint="eastAsia" w:ascii="楷体" w:hAnsi="楷体" w:eastAsia="楷体" w:cs="楷体"/>
          <w:b/>
          <w:bCs/>
          <w:color w:val="000000" w:themeColor="text1"/>
          <w:sz w:val="32"/>
          <w:szCs w:val="32"/>
          <w14:textFill>
            <w14:solidFill>
              <w14:schemeClr w14:val="tx1"/>
            </w14:solidFill>
          </w14:textFill>
        </w:rPr>
        <w:t>不动产首次登记</w:t>
      </w:r>
    </w:p>
    <w:p>
      <w:pPr>
        <w:tabs>
          <w:tab w:val="left" w:pos="1598"/>
        </w:tabs>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w:t>
      </w:r>
      <w:r>
        <w:rPr>
          <w:rFonts w:hint="eastAsia" w:ascii="仿宋_GB2312" w:hAnsi="仿宋_GB2312" w:eastAsia="仿宋_GB2312" w:cs="仿宋_GB2312"/>
          <w:color w:val="auto"/>
          <w:sz w:val="32"/>
          <w:szCs w:val="32"/>
          <w:lang w:eastAsia="zh-CN"/>
        </w:rPr>
        <w:t>超层扩面</w:t>
      </w:r>
      <w:r>
        <w:rPr>
          <w:rFonts w:hint="eastAsia" w:ascii="仿宋_GB2312" w:hAnsi="仿宋_GB2312" w:eastAsia="仿宋_GB2312" w:cs="仿宋_GB2312"/>
          <w:color w:val="000000" w:themeColor="text1"/>
          <w:sz w:val="32"/>
          <w:szCs w:val="32"/>
          <w14:textFill>
            <w14:solidFill>
              <w14:schemeClr w14:val="tx1"/>
            </w14:solidFill>
          </w14:textFill>
        </w:rPr>
        <w:t>遗留问题，采取“分类处理，一户一表”，登记机构凭“部门联审、政府审定”的结果办理土地使用权及建（构）筑物所有权不动产首次登记。</w:t>
      </w:r>
    </w:p>
    <w:p>
      <w:pPr>
        <w:tabs>
          <w:tab w:val="left" w:pos="1598"/>
        </w:tabs>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地上土地使用权及建（构）筑物所有权与地下土地使用权及建（构）筑物所有权分别登记。</w:t>
      </w:r>
    </w:p>
    <w:p>
      <w:pPr>
        <w:tabs>
          <w:tab w:val="left" w:pos="1598"/>
        </w:tabs>
        <w:spacing w:line="600" w:lineRule="exact"/>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首次登记对象为安置户，涉及继承的，依法先确定继承人，</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并申请办理继承登记。</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bookmarkStart w:id="2" w:name="_Hlk130245716"/>
      <w:bookmarkEnd w:id="2"/>
      <w:bookmarkStart w:id="3" w:name="_Hlk130276500"/>
      <w:bookmarkEnd w:id="3"/>
      <w:bookmarkStart w:id="4" w:name="_Hlk130276547"/>
      <w:bookmarkEnd w:id="4"/>
      <w:r>
        <w:rPr>
          <w:rFonts w:hint="eastAsia" w:ascii="黑体" w:hAnsi="黑体" w:eastAsia="黑体" w:cs="黑体"/>
          <w:color w:val="000000" w:themeColor="text1"/>
          <w:sz w:val="32"/>
          <w:szCs w:val="32"/>
          <w14:textFill>
            <w14:solidFill>
              <w14:schemeClr w14:val="tx1"/>
            </w14:solidFill>
          </w14:textFill>
        </w:rPr>
        <w:t>六、相关要求</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5" w:name="_Hlk131238066"/>
      <w:bookmarkEnd w:id="5"/>
      <w:bookmarkStart w:id="6" w:name="_Hlk131237741"/>
      <w:bookmarkEnd w:id="6"/>
      <w:bookmarkStart w:id="7" w:name="_Hlk131242792"/>
      <w:bookmarkEnd w:id="7"/>
      <w:r>
        <w:rPr>
          <w:rFonts w:hint="eastAsia" w:ascii="楷体" w:hAnsi="楷体" w:eastAsia="楷体" w:cs="楷体"/>
          <w:b/>
          <w:bCs/>
          <w:color w:val="000000" w:themeColor="text1"/>
          <w:sz w:val="32"/>
          <w:szCs w:val="32"/>
          <w:lang w:eastAsia="zh-CN"/>
          <w14:textFill>
            <w14:solidFill>
              <w14:schemeClr w14:val="tx1"/>
            </w14:solidFill>
          </w14:textFill>
        </w:rPr>
        <w:t>（一）</w:t>
      </w:r>
      <w:r>
        <w:rPr>
          <w:rFonts w:hint="eastAsia" w:ascii="楷体" w:hAnsi="楷体" w:eastAsia="楷体" w:cs="楷体"/>
          <w:b/>
          <w:bCs/>
          <w:color w:val="000000" w:themeColor="text1"/>
          <w:sz w:val="32"/>
          <w:szCs w:val="32"/>
          <w14:textFill>
            <w14:solidFill>
              <w14:schemeClr w14:val="tx1"/>
            </w14:solidFill>
          </w14:textFill>
        </w:rPr>
        <w:t>强化组织领导。</w:t>
      </w:r>
      <w:r>
        <w:rPr>
          <w:rFonts w:hint="eastAsia" w:ascii="仿宋_GB2312" w:hAnsi="仿宋_GB2312" w:eastAsia="仿宋_GB2312" w:cs="仿宋_GB2312"/>
          <w:color w:val="000000" w:themeColor="text1"/>
          <w:sz w:val="32"/>
          <w:szCs w:val="32"/>
          <w14:textFill>
            <w14:solidFill>
              <w14:schemeClr w14:val="tx1"/>
            </w14:solidFill>
          </w14:textFill>
        </w:rPr>
        <w:t>县政府成立安置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问题的处置工作领导小组，由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分管副县长任</w:t>
      </w:r>
      <w:r>
        <w:rPr>
          <w:rFonts w:hint="eastAsia" w:ascii="仿宋_GB2312" w:hAnsi="仿宋_GB2312" w:eastAsia="仿宋_GB2312" w:cs="仿宋_GB2312"/>
          <w:color w:val="000000" w:themeColor="text1"/>
          <w:sz w:val="32"/>
          <w:szCs w:val="32"/>
          <w14:textFill>
            <w14:solidFill>
              <w14:schemeClr w14:val="tx1"/>
            </w14:solidFill>
          </w14:textFill>
        </w:rPr>
        <w:t>组长，</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自然资源局局长</w:t>
      </w:r>
      <w:r>
        <w:rPr>
          <w:rFonts w:hint="eastAsia" w:ascii="仿宋_GB2312" w:hAnsi="仿宋_GB2312" w:eastAsia="仿宋_GB2312" w:cs="仿宋_GB2312"/>
          <w:color w:val="000000" w:themeColor="text1"/>
          <w:sz w:val="32"/>
          <w:szCs w:val="32"/>
          <w14:textFill>
            <w14:solidFill>
              <w14:schemeClr w14:val="tx1"/>
            </w14:solidFill>
          </w14:textFill>
        </w:rPr>
        <w:t>任副组长，财政局、司法局、城管局、税务局、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人社局、数据</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人防办、</w:t>
      </w:r>
      <w:r>
        <w:rPr>
          <w:rFonts w:hint="eastAsia" w:ascii="仿宋_GB2312" w:hAnsi="仿宋_GB2312" w:eastAsia="仿宋_GB2312" w:cs="仿宋_GB2312"/>
          <w:color w:val="000000" w:themeColor="text1"/>
          <w:sz w:val="32"/>
          <w:szCs w:val="32"/>
          <w14:textFill>
            <w14:solidFill>
              <w14:schemeClr w14:val="tx1"/>
            </w14:solidFill>
          </w14:textFill>
        </w:rPr>
        <w:t>城投服务中心、汉昌街道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等部门主要负责人为成员。领导小组下设办公室，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自然资源局局长</w:t>
      </w:r>
      <w:r>
        <w:rPr>
          <w:rFonts w:hint="eastAsia" w:ascii="仿宋_GB2312" w:hAnsi="仿宋_GB2312" w:eastAsia="仿宋_GB2312" w:cs="仿宋_GB2312"/>
          <w:color w:val="000000" w:themeColor="text1"/>
          <w:sz w:val="32"/>
          <w:szCs w:val="32"/>
          <w14:textFill>
            <w14:solidFill>
              <w14:schemeClr w14:val="tx1"/>
            </w14:solidFill>
          </w14:textFill>
        </w:rPr>
        <w:t>任办公室主任、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分管副局长</w:t>
      </w:r>
      <w:r>
        <w:rPr>
          <w:rFonts w:hint="eastAsia" w:ascii="仿宋_GB2312" w:hAnsi="仿宋_GB2312" w:eastAsia="仿宋_GB2312" w:cs="仿宋_GB2312"/>
          <w:color w:val="000000" w:themeColor="text1"/>
          <w:sz w:val="32"/>
          <w:szCs w:val="32"/>
          <w14:textFill>
            <w14:solidFill>
              <w14:schemeClr w14:val="tx1"/>
            </w14:solidFill>
          </w14:textFill>
        </w:rPr>
        <w:t>任办公室副主任、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自然资源局权益利用股股长</w:t>
      </w:r>
      <w:r>
        <w:rPr>
          <w:rFonts w:hint="eastAsia" w:ascii="仿宋_GB2312" w:hAnsi="仿宋_GB2312" w:eastAsia="仿宋_GB2312" w:cs="仿宋_GB2312"/>
          <w:color w:val="000000" w:themeColor="text1"/>
          <w:sz w:val="32"/>
          <w:szCs w:val="32"/>
          <w14:textFill>
            <w14:solidFill>
              <w14:schemeClr w14:val="tx1"/>
            </w14:solidFill>
          </w14:textFill>
        </w:rPr>
        <w:t>为联络员。领导小组各成员单位各负其责，紧密配合，切实解决</w:t>
      </w:r>
      <w:r>
        <w:rPr>
          <w:rFonts w:hint="eastAsia" w:ascii="仿宋_GB2312" w:hAnsi="仿宋_GB2312" w:eastAsia="仿宋_GB2312" w:cs="仿宋_GB2312"/>
          <w:color w:val="000000" w:themeColor="text1"/>
          <w:sz w:val="32"/>
          <w:szCs w:val="32"/>
          <w:lang w:eastAsia="zh-CN"/>
          <w14:textFill>
            <w14:solidFill>
              <w14:schemeClr w14:val="tx1"/>
            </w14:solidFill>
          </w14:textFill>
        </w:rPr>
        <w:t>中心城区</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 xml:space="preserve">问题。具体职责分工如下： </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8" w:name="_Hlk131242528"/>
      <w:bookmarkEnd w:id="8"/>
      <w:r>
        <w:rPr>
          <w:rFonts w:hint="eastAsia" w:ascii="仿宋_GB2312" w:hAnsi="仿宋_GB2312" w:eastAsia="仿宋_GB2312" w:cs="仿宋_GB2312"/>
          <w:color w:val="000000" w:themeColor="text1"/>
          <w:sz w:val="32"/>
          <w:szCs w:val="32"/>
          <w14:textFill>
            <w14:solidFill>
              <w14:schemeClr w14:val="tx1"/>
            </w14:solidFill>
          </w14:textFill>
        </w:rPr>
        <w:t>领导小组办公室：负责统筹调度安置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采取集中办公形式开展相关工作，办公</w:t>
      </w:r>
      <w:r>
        <w:rPr>
          <w:rFonts w:hint="eastAsia" w:ascii="仿宋_GB2312" w:hAnsi="仿宋_GB2312" w:eastAsia="仿宋_GB2312" w:cs="仿宋_GB2312"/>
          <w:color w:val="000000" w:themeColor="text1"/>
          <w:sz w:val="32"/>
          <w:szCs w:val="32"/>
          <w:lang w:eastAsia="zh-CN"/>
          <w14:textFill>
            <w14:solidFill>
              <w14:schemeClr w14:val="tx1"/>
            </w14:solidFill>
          </w14:textFill>
        </w:rPr>
        <w:t>场地</w:t>
      </w:r>
      <w:r>
        <w:rPr>
          <w:rFonts w:hint="eastAsia" w:ascii="仿宋_GB2312" w:hAnsi="仿宋_GB2312" w:eastAsia="仿宋_GB2312" w:cs="仿宋_GB2312"/>
          <w:color w:val="000000" w:themeColor="text1"/>
          <w:sz w:val="32"/>
          <w:szCs w:val="32"/>
          <w14:textFill>
            <w14:solidFill>
              <w14:schemeClr w14:val="tx1"/>
            </w14:solidFill>
          </w14:textFill>
        </w:rPr>
        <w:t>设汉昌</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自然资源所</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办公区，</w:t>
      </w:r>
      <w:r>
        <w:rPr>
          <w:rFonts w:hint="eastAsia" w:ascii="仿宋_GB2312" w:hAnsi="仿宋_GB2312" w:eastAsia="仿宋_GB2312" w:cs="仿宋_GB2312"/>
          <w:color w:val="000000" w:themeColor="text1"/>
          <w:sz w:val="32"/>
          <w:szCs w:val="32"/>
          <w14:textFill>
            <w14:solidFill>
              <w14:schemeClr w14:val="tx1"/>
            </w14:solidFill>
          </w14:textFill>
        </w:rPr>
        <w:t>由汉昌自然资源所</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自然资源所负责具体业务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受理、</w:t>
      </w:r>
      <w:r>
        <w:rPr>
          <w:rFonts w:hint="eastAsia" w:ascii="仿宋_GB2312" w:hAnsi="仿宋_GB2312" w:eastAsia="仿宋_GB2312" w:cs="仿宋_GB2312"/>
          <w:color w:val="000000" w:themeColor="text1"/>
          <w:sz w:val="32"/>
          <w:szCs w:val="32"/>
          <w14:textFill>
            <w14:solidFill>
              <w14:schemeClr w14:val="tx1"/>
            </w14:solidFill>
          </w14:textFill>
        </w:rPr>
        <w:t>呈报</w:t>
      </w:r>
      <w:r>
        <w:rPr>
          <w:rFonts w:hint="eastAsia" w:ascii="仿宋_GB2312" w:hAnsi="仿宋_GB2312" w:eastAsia="仿宋_GB2312" w:cs="仿宋_GB2312"/>
          <w:color w:val="000000" w:themeColor="text1"/>
          <w:sz w:val="32"/>
          <w:szCs w:val="32"/>
          <w:lang w:eastAsia="zh-CN"/>
          <w14:textFill>
            <w14:solidFill>
              <w14:schemeClr w14:val="tx1"/>
            </w14:solidFill>
          </w14:textFill>
        </w:rPr>
        <w:t>（审理）、办结</w:t>
      </w:r>
      <w:r>
        <w:rPr>
          <w:rFonts w:hint="eastAsia" w:ascii="仿宋_GB2312" w:hAnsi="仿宋_GB2312" w:eastAsia="仿宋_GB2312" w:cs="仿宋_GB2312"/>
          <w:color w:val="000000" w:themeColor="text1"/>
          <w:sz w:val="32"/>
          <w:szCs w:val="32"/>
          <w14:textFill>
            <w14:solidFill>
              <w14:schemeClr w14:val="tx1"/>
            </w14:solidFill>
          </w14:textFill>
        </w:rPr>
        <w:t>。领导小组办公室下设资格审查组（汉昌街道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街道和城投中心负责）、遴选中介服务机构组（领导小组办公室）、详细规划调整组（自然资源局负责）、房屋质量验收备案组（住建局负责）、联合执法组（自然资源局和城管局负责）、城市配套费征收组（</w:t>
      </w: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w:t>
      </w:r>
      <w:r>
        <w:rPr>
          <w:rFonts w:hint="eastAsia" w:ascii="仿宋_GB2312" w:hAnsi="仿宋_GB2312" w:eastAsia="仿宋_GB2312" w:cs="仿宋_GB2312"/>
          <w:color w:val="000000" w:themeColor="text1"/>
          <w:sz w:val="32"/>
          <w:szCs w:val="32"/>
          <w14:textFill>
            <w14:solidFill>
              <w14:schemeClr w14:val="tx1"/>
            </w14:solidFill>
          </w14:textFill>
        </w:rPr>
        <w:t>街道负责）、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税收和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防空地下室易地建设费征收组（税务局、人防办负责）、</w:t>
      </w:r>
      <w:r>
        <w:rPr>
          <w:rFonts w:hint="eastAsia" w:ascii="仿宋_GB2312" w:hAnsi="仿宋_GB2312" w:eastAsia="仿宋_GB2312" w:cs="仿宋_GB2312"/>
          <w:color w:val="000000" w:themeColor="text1"/>
          <w:sz w:val="32"/>
          <w:szCs w:val="32"/>
          <w14:textFill>
            <w14:solidFill>
              <w14:schemeClr w14:val="tx1"/>
            </w14:solidFill>
          </w14:textFill>
        </w:rPr>
        <w:t>不动产登记组（自然资源局负责）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各单位按照分工安排须明确一名副职具体</w:t>
      </w:r>
      <w:r>
        <w:rPr>
          <w:rFonts w:hint="eastAsia" w:ascii="仿宋_GB2312" w:hAnsi="仿宋_GB2312" w:eastAsia="仿宋_GB2312" w:cs="仿宋_GB2312"/>
          <w:color w:val="000000" w:themeColor="text1"/>
          <w:sz w:val="32"/>
          <w:szCs w:val="32"/>
          <w:lang w:eastAsia="zh-CN"/>
          <w14:textFill>
            <w14:solidFill>
              <w14:schemeClr w14:val="tx1"/>
            </w14:solidFill>
          </w14:textFill>
        </w:rPr>
        <w:t>分管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各事项至少</w:t>
      </w:r>
      <w:r>
        <w:rPr>
          <w:rFonts w:hint="eastAsia" w:ascii="仿宋_GB2312" w:hAnsi="仿宋_GB2312" w:eastAsia="仿宋_GB2312" w:cs="仿宋_GB2312"/>
          <w:color w:val="000000" w:themeColor="text1"/>
          <w:sz w:val="32"/>
          <w:szCs w:val="32"/>
          <w14:textFill>
            <w14:solidFill>
              <w14:schemeClr w14:val="tx1"/>
            </w14:solidFill>
          </w14:textFill>
        </w:rPr>
        <w:t>安排一名</w:t>
      </w:r>
      <w:r>
        <w:rPr>
          <w:rFonts w:hint="eastAsia" w:ascii="仿宋_GB2312" w:hAnsi="仿宋_GB2312" w:eastAsia="仿宋_GB2312" w:cs="仿宋_GB2312"/>
          <w:color w:val="000000" w:themeColor="text1"/>
          <w:sz w:val="32"/>
          <w:szCs w:val="32"/>
          <w:lang w:eastAsia="zh-CN"/>
          <w14:textFill>
            <w14:solidFill>
              <w14:schemeClr w14:val="tx1"/>
            </w14:solidFill>
          </w14:textFill>
        </w:rPr>
        <w:t>办事</w:t>
      </w:r>
      <w:r>
        <w:rPr>
          <w:rFonts w:hint="eastAsia" w:ascii="仿宋_GB2312" w:hAnsi="仿宋_GB2312" w:eastAsia="仿宋_GB2312" w:cs="仿宋_GB2312"/>
          <w:color w:val="000000" w:themeColor="text1"/>
          <w:sz w:val="32"/>
          <w:szCs w:val="32"/>
          <w14:textFill>
            <w14:solidFill>
              <w14:schemeClr w14:val="tx1"/>
            </w14:solidFill>
          </w14:textFill>
        </w:rPr>
        <w:t>员</w:t>
      </w:r>
      <w:r>
        <w:rPr>
          <w:rFonts w:hint="eastAsia" w:ascii="仿宋_GB2312" w:hAnsi="仿宋_GB2312" w:eastAsia="仿宋_GB2312" w:cs="仿宋_GB2312"/>
          <w:color w:val="000000" w:themeColor="text1"/>
          <w:sz w:val="32"/>
          <w:szCs w:val="32"/>
          <w:lang w:eastAsia="zh-CN"/>
          <w14:textFill>
            <w14:solidFill>
              <w14:schemeClr w14:val="tx1"/>
            </w14:solidFill>
          </w14:textFill>
        </w:rPr>
        <w:t>承办</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城投服务中心：负责安置户资格审查，提供各安置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的安置名单和安置时收取的费用明细。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自然资源局：参与联合执法，对涉及职权范围内的违法行为依法查处；负责安置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14:textFill>
            <w14:solidFill>
              <w14:schemeClr w14:val="tx1"/>
            </w14:solidFill>
          </w14:textFill>
        </w:rPr>
        <w:t>详细规划的调整工作；规划许可及验收核实；划拨供地、转让审批；收缴土地价款；办理不动产登记。</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住建局：负责建筑工程竣工验收和房屋建筑质量鉴定结果备案工作。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城管局：参与联合执法，对涉及职权范围内的违法行为依法查处。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司法局：负责安置户涉及继承的司法公证办理。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税务局：负责契税</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防空地下室易地建设费</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核准</w:t>
      </w:r>
      <w:r>
        <w:rPr>
          <w:rFonts w:hint="eastAsia" w:ascii="仿宋_GB2312" w:hAnsi="仿宋_GB2312" w:eastAsia="仿宋_GB2312" w:cs="仿宋_GB2312"/>
          <w:color w:val="000000" w:themeColor="text1"/>
          <w:sz w:val="32"/>
          <w:szCs w:val="32"/>
          <w14:textFill>
            <w14:solidFill>
              <w14:schemeClr w14:val="tx1"/>
            </w14:solidFill>
          </w14:textFill>
        </w:rPr>
        <w:t>征缴。</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14:textFill>
            <w14:solidFill>
              <w14:schemeClr w14:val="tx1"/>
            </w14:solidFill>
          </w14:textFill>
        </w:rPr>
        <w:t>局：负责城市配套费</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核准征</w:t>
      </w:r>
      <w:r>
        <w:rPr>
          <w:rFonts w:hint="eastAsia" w:ascii="仿宋_GB2312" w:hAnsi="仿宋_GB2312" w:eastAsia="仿宋_GB2312" w:cs="仿宋_GB2312"/>
          <w:color w:val="000000" w:themeColor="text1"/>
          <w:sz w:val="32"/>
          <w:szCs w:val="32"/>
          <w:lang w:eastAsia="zh-CN"/>
          <w14:textFill>
            <w14:solidFill>
              <w14:schemeClr w14:val="tx1"/>
            </w14:solidFill>
          </w14:textFill>
        </w:rPr>
        <w:t>缴</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财政局：负责规划调整、工作经费等相关费用的保障。</w:t>
      </w:r>
    </w:p>
    <w:p>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国动办（人防办）：负责核定防空地下室易地建设费收费标准。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办事处：负责政策宣传；社会稳定维护；安置户资格审查；业务受理；发起联审呈报。</w:t>
      </w:r>
    </w:p>
    <w:p>
      <w:pPr>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（二）明确</w:t>
      </w:r>
      <w:r>
        <w:rPr>
          <w:rFonts w:hint="eastAsia" w:ascii="楷体_GB2312" w:hAnsi="楷体_GB2312" w:eastAsia="楷体_GB2312" w:cs="楷体_GB2312"/>
          <w:b/>
          <w:bCs/>
          <w:color w:val="000000" w:themeColor="text1"/>
          <w:sz w:val="32"/>
          <w:szCs w:val="32"/>
          <w14:textFill>
            <w14:solidFill>
              <w14:schemeClr w14:val="tx1"/>
            </w14:solidFill>
          </w14:textFill>
        </w:rPr>
        <w:t>办理</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流程</w:t>
      </w:r>
    </w:p>
    <w:p>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1、设立专项。</w:t>
      </w:r>
      <w:r>
        <w:rPr>
          <w:rFonts w:hint="eastAsia" w:ascii="仿宋_GB2312" w:hAnsi="仿宋_GB2312" w:eastAsia="仿宋_GB2312" w:cs="仿宋_GB2312"/>
          <w:color w:val="000000" w:themeColor="text1"/>
          <w:sz w:val="32"/>
          <w:szCs w:val="32"/>
          <w14:textFill>
            <w14:solidFill>
              <w14:schemeClr w14:val="tx1"/>
            </w14:solidFill>
          </w14:textFill>
        </w:rPr>
        <w:t>通过综合办公平台设立专项，所有签批统一经综合办公平台办理。</w:t>
      </w:r>
    </w:p>
    <w:p>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2、办理方式</w:t>
      </w:r>
      <w:r>
        <w:rPr>
          <w:rFonts w:hint="eastAsia" w:ascii="仿宋_GB2312" w:hAnsi="仿宋_GB2312" w:eastAsia="仿宋_GB2312" w:cs="仿宋_GB2312"/>
          <w:color w:val="000000" w:themeColor="text1"/>
          <w:sz w:val="32"/>
          <w:szCs w:val="32"/>
          <w14:textFill>
            <w14:solidFill>
              <w14:schemeClr w14:val="tx1"/>
            </w14:solidFill>
          </w14:textFill>
        </w:rPr>
        <w:t>。采取“一户一表、部门联审、政府审定”的方式进行办理。（汉昌街道、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自然资源局、住建局、</w:t>
      </w: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14:textFill>
            <w14:solidFill>
              <w14:schemeClr w14:val="tx1"/>
            </w14:solidFill>
          </w14:textFill>
        </w:rPr>
        <w:t>局）</w:t>
      </w:r>
    </w:p>
    <w:p>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3、费用征缴。</w:t>
      </w:r>
      <w:r>
        <w:rPr>
          <w:rFonts w:hint="eastAsia" w:ascii="仿宋_GB2312" w:hAnsi="仿宋_GB2312" w:eastAsia="仿宋_GB2312" w:cs="仿宋_GB2312"/>
          <w:color w:val="000000" w:themeColor="text1"/>
          <w:sz w:val="32"/>
          <w:szCs w:val="32"/>
          <w14:textFill>
            <w14:solidFill>
              <w14:schemeClr w14:val="tx1"/>
            </w14:solidFill>
          </w14:textFill>
        </w:rPr>
        <w:t>土地价款、城市配套费</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防空地下室易地建设费</w:t>
      </w:r>
      <w:r>
        <w:rPr>
          <w:rFonts w:hint="eastAsia" w:ascii="仿宋_GB2312" w:hAnsi="仿宋_GB2312" w:eastAsia="仿宋_GB2312" w:cs="仿宋_GB2312"/>
          <w:color w:val="000000" w:themeColor="text1"/>
          <w:sz w:val="32"/>
          <w:szCs w:val="32"/>
          <w14:textFill>
            <w14:solidFill>
              <w14:schemeClr w14:val="tx1"/>
            </w14:solidFill>
          </w14:textFill>
        </w:rPr>
        <w:t>，在联审呈报前由呈办单位统一按标准征收；涉及安置户自负部份的中介服务费用由安置户与中介服务机构自行商议，呈办单位凭职能部门的备案结果进行办理。（自然资源局、汉昌街道</w:t>
      </w:r>
      <w:r>
        <w:rPr>
          <w:rFonts w:hint="eastAsia" w:ascii="仿宋_GB2312" w:hAnsi="仿宋_GB2312" w:eastAsia="仿宋_GB2312" w:cs="仿宋_GB2312"/>
          <w:color w:val="000000" w:themeColor="text1"/>
          <w:sz w:val="32"/>
          <w:szCs w:val="32"/>
          <w:lang w:eastAsia="zh-CN"/>
          <w14:textFill>
            <w14:solidFill>
              <w14:schemeClr w14:val="tx1"/>
            </w14:solidFill>
          </w14:textFill>
        </w:rPr>
        <w:t>、天岳街道</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4、登记发证。</w:t>
      </w:r>
      <w:r>
        <w:rPr>
          <w:rFonts w:hint="eastAsia" w:ascii="仿宋_GB2312" w:hAnsi="仿宋_GB2312" w:eastAsia="仿宋_GB2312" w:cs="仿宋_GB2312"/>
          <w:color w:val="000000" w:themeColor="text1"/>
          <w:sz w:val="32"/>
          <w:szCs w:val="32"/>
          <w14:textFill>
            <w14:solidFill>
              <w14:schemeClr w14:val="tx1"/>
            </w14:solidFill>
          </w14:textFill>
        </w:rPr>
        <w:t>对已完善相关手续的安置户，凭联审审批表和备案的测量成果、房屋安全鉴定结果申请办理不动产首次登记。（自然资源局）</w:t>
      </w:r>
    </w:p>
    <w:p>
      <w:pPr>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w:t>
      </w:r>
      <w:r>
        <w:rPr>
          <w:rFonts w:hint="eastAsia" w:ascii="楷体" w:hAnsi="楷体" w:eastAsia="楷体" w:cs="楷体"/>
          <w:b/>
          <w:bCs/>
          <w:color w:val="000000" w:themeColor="text1"/>
          <w:sz w:val="32"/>
          <w:szCs w:val="32"/>
          <w14:textFill>
            <w14:solidFill>
              <w14:schemeClr w14:val="tx1"/>
            </w14:solidFill>
          </w14:textFill>
        </w:rPr>
        <w:t>法律政策宣传。</w:t>
      </w:r>
      <w:r>
        <w:rPr>
          <w:rFonts w:hint="eastAsia" w:ascii="仿宋_GB2312" w:hAnsi="仿宋_GB2312" w:eastAsia="仿宋_GB2312" w:cs="仿宋_GB2312"/>
          <w:color w:val="000000" w:themeColor="text1"/>
          <w:sz w:val="32"/>
          <w:szCs w:val="32"/>
          <w14:textFill>
            <w14:solidFill>
              <w14:schemeClr w14:val="tx1"/>
            </w14:solidFill>
          </w14:textFill>
        </w:rPr>
        <w:t>通过召开会议、张贴标语、发放宣传单并利用手机短信、手机微信等途径广泛宣传安置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问题的处置政策，充分调动广大安置户积极参与化解工作，明晰合法产权，保障合法权益。坚决防止因权属纠纷引发群体性事件，确保社会大局和谐稳定。</w:t>
      </w:r>
    </w:p>
    <w:p>
      <w:pPr>
        <w:spacing w:line="60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（四）</w:t>
      </w:r>
      <w:r>
        <w:rPr>
          <w:rFonts w:hint="eastAsia" w:ascii="楷体" w:hAnsi="楷体" w:eastAsia="楷体" w:cs="仿宋_GB2312"/>
          <w:b/>
          <w:bCs/>
          <w:color w:val="000000" w:themeColor="text1"/>
          <w:sz w:val="32"/>
          <w:szCs w:val="32"/>
          <w:lang w:eastAsia="zh-CN"/>
          <w14:textFill>
            <w14:solidFill>
              <w14:schemeClr w14:val="tx1"/>
            </w14:solidFill>
          </w14:textFill>
        </w:rPr>
        <w:t>提升</w:t>
      </w:r>
      <w:r>
        <w:rPr>
          <w:rFonts w:hint="eastAsia" w:ascii="楷体" w:hAnsi="楷体" w:eastAsia="楷体" w:cs="仿宋_GB2312"/>
          <w:b/>
          <w:bCs/>
          <w:color w:val="000000" w:themeColor="text1"/>
          <w:sz w:val="32"/>
          <w:szCs w:val="32"/>
          <w14:textFill>
            <w14:solidFill>
              <w14:schemeClr w14:val="tx1"/>
            </w14:solidFill>
          </w14:textFill>
        </w:rPr>
        <w:t>中介服务。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数据</w:t>
      </w:r>
      <w:r>
        <w:rPr>
          <w:rFonts w:hint="eastAsia" w:ascii="仿宋" w:hAnsi="仿宋" w:eastAsia="仿宋" w:cs="仿宋"/>
          <w:b w:val="0"/>
          <w:bCs w:val="0"/>
          <w:color w:val="000000" w:themeColor="text1"/>
          <w:sz w:val="32"/>
          <w:szCs w:val="32"/>
          <w:lang w:eastAsia="zh-CN"/>
          <w14:textFill>
            <w14:solidFill>
              <w14:schemeClr w14:val="tx1"/>
            </w14:solidFill>
          </w14:textFill>
        </w:rPr>
        <w:t>局要加强对</w:t>
      </w:r>
      <w:r>
        <w:rPr>
          <w:rFonts w:hint="eastAsia" w:ascii="仿宋" w:hAnsi="仿宋" w:eastAsia="仿宋" w:cs="仿宋"/>
          <w:b w:val="0"/>
          <w:bCs w:val="0"/>
          <w:color w:val="000000" w:themeColor="text1"/>
          <w:sz w:val="32"/>
          <w:szCs w:val="32"/>
          <w14:textFill>
            <w14:solidFill>
              <w14:schemeClr w14:val="tx1"/>
            </w14:solidFill>
          </w14:textFill>
        </w:rPr>
        <w:t>中介服务</w:t>
      </w:r>
      <w:r>
        <w:rPr>
          <w:rFonts w:hint="eastAsia" w:ascii="仿宋" w:hAnsi="仿宋" w:eastAsia="仿宋" w:cs="仿宋"/>
          <w:b w:val="0"/>
          <w:bCs w:val="0"/>
          <w:color w:val="000000" w:themeColor="text1"/>
          <w:sz w:val="32"/>
          <w:szCs w:val="32"/>
          <w:lang w:eastAsia="zh-CN"/>
          <w14:textFill>
            <w14:solidFill>
              <w14:schemeClr w14:val="tx1"/>
            </w14:solidFill>
          </w14:textFill>
        </w:rPr>
        <w:t>质量的监督，</w:t>
      </w:r>
      <w:r>
        <w:rPr>
          <w:rFonts w:hint="eastAsia" w:ascii="仿宋" w:hAnsi="仿宋" w:eastAsia="仿宋" w:cs="仿宋"/>
          <w:b w:val="0"/>
          <w:bCs w:val="0"/>
          <w:color w:val="000000" w:themeColor="text1"/>
          <w:sz w:val="32"/>
          <w:szCs w:val="32"/>
          <w14:textFill>
            <w14:solidFill>
              <w14:schemeClr w14:val="tx1"/>
            </w14:solidFill>
          </w14:textFill>
        </w:rPr>
        <w:t>处置过程中涉及须安</w:t>
      </w:r>
      <w:r>
        <w:rPr>
          <w:rFonts w:hint="eastAsia" w:ascii="仿宋_GB2312" w:hAnsi="仿宋_GB2312" w:eastAsia="仿宋_GB2312" w:cs="仿宋_GB2312"/>
          <w:color w:val="000000" w:themeColor="text1"/>
          <w:sz w:val="32"/>
          <w:szCs w:val="32"/>
          <w14:textFill>
            <w14:solidFill>
              <w14:schemeClr w14:val="tx1"/>
            </w14:solidFill>
          </w14:textFill>
        </w:rPr>
        <w:t>置户提供的房屋质量鉴定、测量等成果，由</w:t>
      </w:r>
      <w:r>
        <w:rPr>
          <w:rFonts w:hint="eastAsia" w:ascii="仿宋_GB2312" w:hAnsi="仿宋_GB2312" w:eastAsia="仿宋_GB2312" w:cs="仿宋_GB2312"/>
          <w:color w:val="000000" w:themeColor="text1"/>
          <w:sz w:val="32"/>
          <w:szCs w:val="32"/>
          <w:lang w:eastAsia="zh-CN"/>
          <w14:textFill>
            <w14:solidFill>
              <w14:schemeClr w14:val="tx1"/>
            </w14:solidFill>
          </w14:textFill>
        </w:rPr>
        <w:t>已</w:t>
      </w:r>
      <w:r>
        <w:rPr>
          <w:rFonts w:hint="eastAsia" w:ascii="仿宋_GB2312" w:hAnsi="仿宋_GB2312" w:eastAsia="仿宋_GB2312" w:cs="仿宋_GB2312"/>
          <w:color w:val="000000" w:themeColor="text1"/>
          <w:sz w:val="32"/>
          <w:szCs w:val="32"/>
          <w14:textFill>
            <w14:solidFill>
              <w14:schemeClr w14:val="tx1"/>
            </w14:solidFill>
          </w14:textFill>
        </w:rPr>
        <w:t>通过公开遴选确定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有资质的第三方机构出具，所需费用由安置户与三方机构商定。</w:t>
      </w:r>
    </w:p>
    <w:p>
      <w:pPr>
        <w:spacing w:line="600" w:lineRule="exact"/>
        <w:ind w:firstLine="643" w:firstLineChars="200"/>
        <w:rPr>
          <w:rFonts w:ascii="仿宋_GB2312" w:hAnsi="Times New Roman" w:eastAsia="仿宋_GB2312" w:cs="仿宋_GB2312"/>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（五）</w:t>
      </w:r>
      <w:r>
        <w:rPr>
          <w:rFonts w:hint="eastAsia" w:ascii="楷体" w:hAnsi="楷体" w:eastAsia="楷体" w:cs="楷体"/>
          <w:b/>
          <w:bCs/>
          <w:color w:val="000000" w:themeColor="text1"/>
          <w:sz w:val="32"/>
          <w:szCs w:val="32"/>
          <w14:textFill>
            <w14:solidFill>
              <w14:schemeClr w14:val="tx1"/>
            </w14:solidFill>
          </w14:textFill>
        </w:rPr>
        <w:t>定期督查考核。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由政府督查室牵头督查</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处置落实情况，对处理情况进行定期通报并纳入目标管理考核。</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（六）</w:t>
      </w:r>
      <w:r>
        <w:rPr>
          <w:rFonts w:hint="eastAsia" w:ascii="楷体" w:hAnsi="楷体" w:eastAsia="楷体" w:cs="楷体"/>
          <w:b/>
          <w:bCs/>
          <w:color w:val="000000" w:themeColor="text1"/>
          <w:sz w:val="32"/>
          <w:szCs w:val="32"/>
          <w14:textFill>
            <w14:solidFill>
              <w14:schemeClr w14:val="tx1"/>
            </w14:solidFill>
          </w14:textFill>
        </w:rPr>
        <w:t>严守工作纪律。</w:t>
      </w:r>
      <w:r>
        <w:rPr>
          <w:rFonts w:hint="eastAsia" w:ascii="仿宋_GB2312" w:hAnsi="仿宋_GB2312" w:eastAsia="仿宋_GB2312" w:cs="仿宋_GB2312"/>
          <w:color w:val="000000" w:themeColor="text1"/>
          <w:sz w:val="32"/>
          <w:szCs w:val="32"/>
          <w14:textFill>
            <w14:solidFill>
              <w14:schemeClr w14:val="tx1"/>
            </w14:solidFill>
          </w14:textFill>
        </w:rPr>
        <w:t>安置</w:t>
      </w:r>
      <w:r>
        <w:rPr>
          <w:rFonts w:hint="eastAsia" w:ascii="仿宋_GB2312" w:hAnsi="仿宋_GB2312" w:eastAsia="仿宋_GB2312" w:cs="仿宋_GB2312"/>
          <w:color w:val="000000" w:themeColor="text1"/>
          <w:sz w:val="32"/>
          <w:szCs w:val="32"/>
          <w:lang w:eastAsia="zh-CN"/>
          <w14:textFill>
            <w14:solidFill>
              <w14:schemeClr w14:val="tx1"/>
            </w14:solidFill>
          </w14:textFill>
        </w:rPr>
        <w:t>地建设</w:t>
      </w:r>
      <w:r>
        <w:rPr>
          <w:rFonts w:hint="eastAsia" w:ascii="仿宋_GB2312" w:hAnsi="仿宋_GB2312" w:eastAsia="仿宋_GB2312" w:cs="仿宋_GB2312"/>
          <w:color w:val="0000FF"/>
          <w:sz w:val="32"/>
          <w:szCs w:val="32"/>
          <w:lang w:eastAsia="zh-CN"/>
        </w:rPr>
        <w:t>超层扩面</w:t>
      </w:r>
      <w:r>
        <w:rPr>
          <w:rFonts w:hint="eastAsia" w:ascii="仿宋_GB2312" w:hAnsi="仿宋_GB2312" w:eastAsia="仿宋_GB2312" w:cs="仿宋_GB2312"/>
          <w:color w:val="000000" w:themeColor="text1"/>
          <w:sz w:val="32"/>
          <w:szCs w:val="32"/>
          <w:lang w:eastAsia="zh-CN"/>
          <w14:textFill>
            <w14:solidFill>
              <w14:schemeClr w14:val="tx1"/>
            </w14:solidFill>
          </w14:textFill>
        </w:rPr>
        <w:t>遗留</w:t>
      </w:r>
      <w:r>
        <w:rPr>
          <w:rFonts w:hint="eastAsia" w:ascii="仿宋_GB2312" w:hAnsi="仿宋_GB2312" w:eastAsia="仿宋_GB2312" w:cs="仿宋_GB2312"/>
          <w:color w:val="000000" w:themeColor="text1"/>
          <w:sz w:val="32"/>
          <w:szCs w:val="32"/>
          <w14:textFill>
            <w14:solidFill>
              <w14:schemeClr w14:val="tx1"/>
            </w14:solidFill>
          </w14:textFill>
        </w:rPr>
        <w:t>问题的处置涉及面广，各参与单位和人员要严守工作纪律， 对工作中有令不行、有禁不止、敷衍塞责、弄虚作假、损害群众合法权益等造成不良影响的将从严追究责任。</w:t>
      </w:r>
    </w:p>
    <w:p>
      <w:pPr>
        <w:spacing w:line="60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本方案</w:t>
      </w:r>
      <w:r>
        <w:rPr>
          <w:rFonts w:hint="eastAsia" w:ascii="仿宋_GB2312" w:hAnsi="仿宋_GB2312" w:eastAsia="仿宋_GB2312" w:cs="仿宋_GB2312"/>
          <w:color w:val="FF0000"/>
          <w:sz w:val="32"/>
          <w:szCs w:val="32"/>
          <w:highlight w:val="none"/>
          <w:shd w:val="clear" w:color="auto" w:fill="auto"/>
          <w:lang w:eastAsia="zh-CN"/>
        </w:rPr>
        <w:t>原则上</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适用于</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县中心城区</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安置</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地建设超层扩面遗留</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问题处置</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sz w:val="32"/>
          <w:szCs w:val="32"/>
        </w:rPr>
        <w:t>自下发之日起施行</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原</w:t>
      </w:r>
      <w:r>
        <w:rPr>
          <w:rFonts w:hint="eastAsia" w:ascii="仿宋_GB2312" w:hAnsi="仿宋_GB2312" w:eastAsia="仿宋_GB2312" w:cs="仿宋_GB2312"/>
          <w:color w:val="000000" w:themeColor="text1"/>
          <w:sz w:val="32"/>
          <w:szCs w:val="32"/>
          <w14:textFill>
            <w14:solidFill>
              <w14:schemeClr w14:val="tx1"/>
            </w14:solidFill>
          </w14:textFill>
        </w:rPr>
        <w:t>平江县人民政府《关于省委巡视反馈洪家塅安置区问题的整改方案》平政办函[2023]28号</w:t>
      </w:r>
      <w:r>
        <w:rPr>
          <w:rFonts w:hint="eastAsia" w:ascii="仿宋_GB2312" w:hAnsi="仿宋_GB2312" w:eastAsia="仿宋_GB2312" w:cs="仿宋_GB2312"/>
          <w:color w:val="000000" w:themeColor="text1"/>
          <w:sz w:val="32"/>
          <w:szCs w:val="32"/>
          <w:lang w:eastAsia="zh-CN"/>
          <w14:textFill>
            <w14:solidFill>
              <w14:schemeClr w14:val="tx1"/>
            </w14:solidFill>
          </w14:textFill>
        </w:rPr>
        <w:t>文件自动废止。</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超越本方案的特殊情况，由县政府组织相关职能部门召集联席会议具体研究解决措施。</w:t>
      </w:r>
    </w:p>
    <w:p>
      <w:pPr>
        <w:spacing w:line="600" w:lineRule="exact"/>
        <w:ind w:firstLine="643" w:firstLineChars="200"/>
        <w:jc w:val="left"/>
        <w:rPr>
          <w:rFonts w:ascii="仿宋_GB2312" w:hAnsi="仿宋_GB2312" w:eastAsia="仿宋_GB2312" w:cs="仿宋_GB2312"/>
          <w:b/>
          <w:bCs/>
          <w:color w:val="000000" w:themeColor="text1"/>
          <w:sz w:val="32"/>
          <w:szCs w:val="32"/>
          <w:shd w:val="clear" w:color="auto" w:fill="FFFFFF"/>
          <w14:textFill>
            <w14:solidFill>
              <w14:schemeClr w14:val="tx1"/>
            </w14:solidFill>
          </w14:textFill>
        </w:rPr>
      </w:pP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附件</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p>
    <w:p>
      <w:pPr>
        <w:spacing w:line="60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联审呈报表</w: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资料清单</w: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3、流程图</w: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4、安置区名单及土地性质、基准地价对照表</w: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5、工程造价和工程合同价款执行标准</w:t>
      </w:r>
    </w:p>
    <w:p>
      <w:pPr>
        <w:spacing w:line="600" w:lineRule="exact"/>
        <w:ind w:firstLine="640" w:firstLineChars="200"/>
        <w:jc w:val="left"/>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page"/>
      </w:r>
    </w:p>
    <w:p>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spacing w:line="600" w:lineRule="exact"/>
        <w:ind w:firstLine="880" w:firstLineChars="200"/>
        <w:jc w:val="center"/>
        <w:rPr>
          <w:rFonts w:hint="eastAsia" w:ascii="黑体" w:hAnsi="黑体" w:eastAsia="黑体" w:cs="黑体"/>
          <w:color w:val="000000" w:themeColor="text1"/>
          <w:sz w:val="44"/>
          <w:szCs w:val="44"/>
          <w:shd w:val="clear" w:color="auto" w:fill="FFFFFF"/>
          <w14:textFill>
            <w14:solidFill>
              <w14:schemeClr w14:val="tx1"/>
            </w14:solidFill>
          </w14:textFill>
        </w:rPr>
      </w:pPr>
      <w:r>
        <w:rPr>
          <w:rFonts w:hint="eastAsia" w:ascii="黑体" w:hAnsi="黑体" w:eastAsia="黑体" w:cs="黑体"/>
          <w:color w:val="000000" w:themeColor="text1"/>
          <w:sz w:val="44"/>
          <w:szCs w:val="44"/>
          <w:shd w:val="clear" w:color="auto" w:fill="FFFFFF"/>
          <w14:textFill>
            <w14:solidFill>
              <w14:schemeClr w14:val="tx1"/>
            </w14:solidFill>
          </w14:textFill>
        </w:rPr>
        <w:t>联审呈报表</w:t>
      </w:r>
    </w:p>
    <w:p>
      <w:pPr>
        <w:spacing w:line="600" w:lineRule="exact"/>
        <w:ind w:firstLine="640" w:firstLineChars="200"/>
        <w:jc w:val="cente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编号：</w:t>
      </w:r>
    </w:p>
    <w:tbl>
      <w:tblPr>
        <w:tblStyle w:val="5"/>
        <w:tblW w:w="8583" w:type="dxa"/>
        <w:tblInd w:w="-249" w:type="dxa"/>
        <w:shd w:val="clear" w:color="auto" w:fill="auto"/>
        <w:tblLayout w:type="fixed"/>
        <w:tblCellMar>
          <w:top w:w="0" w:type="dxa"/>
          <w:left w:w="0" w:type="dxa"/>
          <w:bottom w:w="0" w:type="dxa"/>
          <w:right w:w="0" w:type="dxa"/>
        </w:tblCellMar>
      </w:tblPr>
      <w:tblGrid>
        <w:gridCol w:w="1167"/>
        <w:gridCol w:w="791"/>
        <w:gridCol w:w="918"/>
        <w:gridCol w:w="618"/>
        <w:gridCol w:w="845"/>
        <w:gridCol w:w="1049"/>
        <w:gridCol w:w="918"/>
        <w:gridCol w:w="839"/>
        <w:gridCol w:w="594"/>
        <w:gridCol w:w="844"/>
      </w:tblGrid>
      <w:tr>
        <w:tblPrEx>
          <w:shd w:val="clear" w:color="auto" w:fill="auto"/>
          <w:tblLayout w:type="fixed"/>
          <w:tblCellMar>
            <w:top w:w="0" w:type="dxa"/>
            <w:left w:w="0" w:type="dxa"/>
            <w:bottom w:w="0" w:type="dxa"/>
            <w:right w:w="0" w:type="dxa"/>
          </w:tblCellMar>
        </w:tblPrEx>
        <w:trPr>
          <w:trHeight w:val="659"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坐落位置</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108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安置户   姓名</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身份证</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号码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1044"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用地许可 面积</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实际占地  面积</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72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许可建筑 面积</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计容</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合计</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实际建筑  面积</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计容</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合计</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72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不计容</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不计容</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720"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建筑层数</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许可</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房屋安全质量鉴定</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合格</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评级</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720"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核实</w:t>
            </w: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不合格</w:t>
            </w:r>
          </w:p>
        </w:tc>
        <w:tc>
          <w:tcPr>
            <w:tcW w:w="17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评级</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罚款</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补缴价款</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城市</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配套费</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防空地下室 易地建设费</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840"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税费</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1755"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街道办</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初审意见</w:t>
            </w:r>
          </w:p>
        </w:tc>
        <w:tc>
          <w:tcPr>
            <w:tcW w:w="741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27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城投服务</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中心意见</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住建局</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意  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27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Style w:val="6"/>
                <w:color w:val="000000" w:themeColor="text1"/>
                <w:lang w:val="en-US" w:eastAsia="zh-CN" w:bidi="ar"/>
                <w14:textFill>
                  <w14:solidFill>
                    <w14:schemeClr w14:val="tx1"/>
                  </w14:solidFill>
                </w14:textFill>
              </w:rPr>
              <w:t>城管局   意</w:t>
            </w:r>
            <w:r>
              <w:rPr>
                <w:rStyle w:val="6"/>
                <w:rFonts w:hint="eastAsia"/>
                <w:color w:val="000000" w:themeColor="text1"/>
                <w:lang w:val="en-US" w:eastAsia="zh-CN" w:bidi="ar"/>
                <w14:textFill>
                  <w14:solidFill>
                    <w14:schemeClr w14:val="tx1"/>
                  </w14:solidFill>
                </w14:textFill>
              </w:rPr>
              <w:t xml:space="preserve">  </w:t>
            </w:r>
            <w:r>
              <w:rPr>
                <w:rStyle w:val="6"/>
                <w:color w:val="000000" w:themeColor="text1"/>
                <w:lang w:val="en-US" w:eastAsia="zh-CN" w:bidi="ar"/>
                <w14:textFill>
                  <w14:solidFill>
                    <w14:schemeClr w14:val="tx1"/>
                  </w14:solidFill>
                </w14:textFill>
              </w:rPr>
              <w:t>见</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数据局</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意  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2762" w:hRule="atLeast"/>
        </w:trPr>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自然资源局意  见</w:t>
            </w:r>
          </w:p>
        </w:tc>
        <w:tc>
          <w:tcPr>
            <w:tcW w:w="31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6"/>
                <w:color w:val="000000" w:themeColor="text1"/>
                <w:lang w:val="en-US" w:eastAsia="zh-CN" w:bidi="ar"/>
                <w14:textFill>
                  <w14:solidFill>
                    <w14:schemeClr w14:val="tx1"/>
                  </w14:solidFill>
                </w14:textFill>
              </w:rPr>
            </w:pPr>
            <w:r>
              <w:rPr>
                <w:rStyle w:val="6"/>
                <w:color w:val="000000" w:themeColor="text1"/>
                <w:lang w:val="en-US" w:eastAsia="zh-CN" w:bidi="ar"/>
                <w14:textFill>
                  <w14:solidFill>
                    <w14:schemeClr w14:val="tx1"/>
                  </w14:solidFill>
                </w14:textFill>
              </w:rPr>
              <w:t>国动办</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Style w:val="6"/>
                <w:color w:val="000000" w:themeColor="text1"/>
                <w:lang w:val="en-US" w:eastAsia="zh-CN" w:bidi="ar"/>
                <w14:textFill>
                  <w14:solidFill>
                    <w14:schemeClr w14:val="tx1"/>
                  </w14:solidFill>
                </w14:textFill>
              </w:rPr>
              <w:t>（人防办）   意</w:t>
            </w:r>
            <w:r>
              <w:rPr>
                <w:rStyle w:val="6"/>
                <w:rFonts w:hint="eastAsia"/>
                <w:color w:val="000000" w:themeColor="text1"/>
                <w:lang w:val="en-US" w:eastAsia="zh-CN" w:bidi="ar"/>
                <w14:textFill>
                  <w14:solidFill>
                    <w14:schemeClr w14:val="tx1"/>
                  </w14:solidFill>
                </w14:textFill>
              </w:rPr>
              <w:t xml:space="preserve">  </w:t>
            </w:r>
            <w:r>
              <w:rPr>
                <w:rStyle w:val="6"/>
                <w:color w:val="000000" w:themeColor="text1"/>
                <w:lang w:val="en-US" w:eastAsia="zh-CN" w:bidi="ar"/>
                <w14:textFill>
                  <w14:solidFill>
                    <w14:schemeClr w14:val="tx1"/>
                  </w14:solidFill>
                </w14:textFill>
              </w:rPr>
              <w:t>见</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1517"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相关单位意见</w:t>
            </w:r>
          </w:p>
        </w:tc>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1827"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领导小组办公室</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意  见</w:t>
            </w:r>
          </w:p>
        </w:tc>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Layout w:type="fixed"/>
          <w:tblCellMar>
            <w:top w:w="0" w:type="dxa"/>
            <w:left w:w="0" w:type="dxa"/>
            <w:bottom w:w="0" w:type="dxa"/>
            <w:right w:w="0" w:type="dxa"/>
          </w:tblCellMar>
        </w:tblPrEx>
        <w:trPr>
          <w:trHeight w:val="1957"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县人民政府</w:t>
            </w:r>
          </w:p>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批  示</w:t>
            </w:r>
          </w:p>
        </w:tc>
        <w:tc>
          <w:tcPr>
            <w:tcW w:w="662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bl>
    <w:p>
      <w:pPr>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2</w:t>
      </w:r>
    </w:p>
    <w:p>
      <w:pPr>
        <w:jc w:val="center"/>
        <w:rPr>
          <w:rFonts w:ascii="黑体" w:hAnsi="黑体" w:eastAsia="黑体" w:cs="华文细黑"/>
          <w:b w:val="0"/>
          <w:bCs/>
          <w:color w:val="000000" w:themeColor="text1"/>
          <w:sz w:val="44"/>
          <w:szCs w:val="44"/>
          <w14:textFill>
            <w14:solidFill>
              <w14:schemeClr w14:val="tx1"/>
            </w14:solidFill>
          </w14:textFill>
        </w:rPr>
      </w:pPr>
      <w:r>
        <w:rPr>
          <w:rFonts w:hint="eastAsia" w:ascii="黑体" w:hAnsi="黑体" w:eastAsia="黑体" w:cs="华文细黑"/>
          <w:b w:val="0"/>
          <w:bCs/>
          <w:color w:val="000000" w:themeColor="text1"/>
          <w:sz w:val="44"/>
          <w:szCs w:val="44"/>
          <w14:textFill>
            <w14:solidFill>
              <w14:schemeClr w14:val="tx1"/>
            </w14:solidFill>
          </w14:textFill>
        </w:rPr>
        <w:t>资料清单</w:t>
      </w:r>
    </w:p>
    <w:p>
      <w:pPr>
        <w:ind w:firstLine="640" w:firstLineChars="200"/>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1、安置户身份证；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2、安置协议；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3、划拨决定书或土地审批单；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4、用地规划许可证；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5、工程规划许可证；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6、房地产调查和测绘报告；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7、房屋质量安全鉴定备案资料；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8、罚没款收据；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9、补缴价款缴纳凭证；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10、联审呈报表；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11、不动产登记申请表</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二、资料要求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1、安置地属安置户婚姻存续期间共有财产的，需提供结婚证复印件,安置户涉及继承的，依法先确定继承人。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2、没有申请办理用地规划许可证、工程规划许可证的，以安置区审批的规划条件为准。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3、补缴价款缴纳凭证、罚没款收据、宗地、房屋实测报告、房屋质量安全鉴定备案资料需提供原件外，其他资料须查证原件收复印件。</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处置流程图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1369695</wp:posOffset>
                </wp:positionH>
                <wp:positionV relativeFrom="paragraph">
                  <wp:posOffset>284480</wp:posOffset>
                </wp:positionV>
                <wp:extent cx="2230755" cy="713105"/>
                <wp:effectExtent l="6350" t="6350" r="10795" b="23495"/>
                <wp:wrapNone/>
                <wp:docPr id="1" name="矩形 1"/>
                <wp:cNvGraphicFramePr/>
                <a:graphic xmlns:a="http://schemas.openxmlformats.org/drawingml/2006/main">
                  <a:graphicData uri="http://schemas.microsoft.com/office/word/2010/wordprocessingShape">
                    <wps:wsp>
                      <wps:cNvSpPr/>
                      <wps:spPr>
                        <a:xfrm>
                          <a:off x="2788285" y="2150110"/>
                          <a:ext cx="2230755" cy="7131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资格审查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（汉昌、天岳街道、征拆办）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85pt;margin-top:22.4pt;height:56.15pt;width:175.65pt;z-index:251659264;v-text-anchor:middle;mso-width-relative:page;mso-height-relative:page;" filled="f" stroked="t" coordsize="21600,21600" o:gfxdata="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uY&#10;hHbYAAAACgEAAA8AAAAAAAAAAQAgAAAAIgAAAGRycy9kb3ducmV2LnhtbFBLAQIUABQAAAAIAIdO&#10;4kC38hqSXAIAAJQEAAAOAAAAAAAAAAEAIAAAACcBAABkcnMvZTJvRG9jLnhtbFBLBQYAAAAABgAG&#10;AFkBAAD1BQ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资格审查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（汉昌、天岳街道、征拆办）</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2484755</wp:posOffset>
                </wp:positionH>
                <wp:positionV relativeFrom="paragraph">
                  <wp:posOffset>1062990</wp:posOffset>
                </wp:positionV>
                <wp:extent cx="0" cy="395605"/>
                <wp:effectExtent l="53975" t="0" r="60325" b="4445"/>
                <wp:wrapNone/>
                <wp:docPr id="3" name="直接箭头连接符 2"/>
                <wp:cNvGraphicFramePr/>
                <a:graphic xmlns:a="http://schemas.openxmlformats.org/drawingml/2006/main">
                  <a:graphicData uri="http://schemas.microsoft.com/office/word/2010/wordprocessingShape">
                    <wps:wsp>
                      <wps:cNvCnPr/>
                      <wps:spPr>
                        <a:xfrm>
                          <a:off x="3627755" y="2757805"/>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2" o:spid="_x0000_s1026" o:spt="32" type="#_x0000_t32" style="position:absolute;left:0pt;margin-left:195.65pt;margin-top:83.7pt;height:31.15pt;width:0pt;z-index:251660288;mso-width-relative:page;mso-height-relative:page;" filled="f" stroked="t" coordsize="21600,21600" o:gfxdata="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Uxt5DYAAAACwEAAA8AAAAAAAAAAQAgAAAAIgAAAGRycy9kb3du&#10;cmV2LnhtbFBLAQIUABQAAAAIAIdO4kCOctMN/wEAAK4DAAAOAAAAAAAAAAEAIAAAACcBAABkcnMv&#10;ZTJvRG9jLnhtbFBLBQYAAAAABgAGAFkBAACYBQ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3987800</wp:posOffset>
                </wp:positionH>
                <wp:positionV relativeFrom="paragraph">
                  <wp:posOffset>2673985</wp:posOffset>
                </wp:positionV>
                <wp:extent cx="1678940" cy="683895"/>
                <wp:effectExtent l="6350" t="6350" r="10160" b="14605"/>
                <wp:wrapNone/>
                <wp:docPr id="27" name="矩形 27"/>
                <wp:cNvGraphicFramePr/>
                <a:graphic xmlns:a="http://schemas.openxmlformats.org/drawingml/2006/main">
                  <a:graphicData uri="http://schemas.microsoft.com/office/word/2010/wordprocessingShape">
                    <wps:wsp>
                      <wps:cNvSpPr/>
                      <wps:spPr>
                        <a:xfrm>
                          <a:off x="0" y="0"/>
                          <a:ext cx="1678940" cy="683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缴纳罚款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pt;margin-top:210.55pt;height:53.85pt;width:132.2pt;z-index:251671552;v-text-anchor:middle;mso-width-relative:page;mso-height-relative:page;" filled="f" stroked="t" coordsize="21600,21600" o:gfxdata="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tnVs9oAAAAL&#10;AQAADwAAAAAAAAABACAAAAAiAAAAZHJzL2Rvd25yZXYueG1sUEsBAhQAFAAAAAgAh07iQGFsfDtT&#10;AgAAigQAAA4AAAAAAAAAAQAgAAAAKQEAAGRycy9lMm9Eb2MueG1sUEsFBgAAAAAGAAYAWQEAAO4F&#10;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缴纳罚款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2209800</wp:posOffset>
                </wp:positionH>
                <wp:positionV relativeFrom="paragraph">
                  <wp:posOffset>3324225</wp:posOffset>
                </wp:positionV>
                <wp:extent cx="0" cy="395605"/>
                <wp:effectExtent l="53975" t="0" r="60325" b="4445"/>
                <wp:wrapNone/>
                <wp:docPr id="15" name="直接箭头连接符 15"/>
                <wp:cNvGraphicFramePr/>
                <a:graphic xmlns:a="http://schemas.openxmlformats.org/drawingml/2006/main">
                  <a:graphicData uri="http://schemas.microsoft.com/office/word/2010/wordprocessingShape">
                    <wps:wsp>
                      <wps:cNvCnPr/>
                      <wps:spPr>
                        <a:xfrm>
                          <a:off x="0" y="0"/>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4pt;margin-top:261.75pt;height:31.15pt;width:0pt;z-index:251670528;mso-width-relative:page;mso-height-relative:page;" filled="f" stroked="t" coordsize="21600,21600" o:gfxdata="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iHSd1wAAAAsBAAAPAAAAAAAAAAEAIAAAACIAAABkcnMvZG93bnJldi54bWxQSwECFAAU&#10;AAAACACHTuJAugcQovIBAACkAwAADgAAAAAAAAABACAAAAAmAQAAZHJzL2Uyb0RvYy54bWxQSwUG&#10;AAAAAAYABgBZAQAAigU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1142365</wp:posOffset>
                </wp:positionH>
                <wp:positionV relativeFrom="paragraph">
                  <wp:posOffset>6040755</wp:posOffset>
                </wp:positionV>
                <wp:extent cx="2397125" cy="772160"/>
                <wp:effectExtent l="6350" t="6350" r="15875" b="21590"/>
                <wp:wrapNone/>
                <wp:docPr id="26" name="矩形 26"/>
                <wp:cNvGraphicFramePr/>
                <a:graphic xmlns:a="http://schemas.openxmlformats.org/drawingml/2006/main">
                  <a:graphicData uri="http://schemas.microsoft.com/office/word/2010/wordprocessingShape">
                    <wps:wsp>
                      <wps:cNvSpPr/>
                      <wps:spPr>
                        <a:xfrm>
                          <a:off x="2372995" y="7646035"/>
                          <a:ext cx="2397125" cy="772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登记发证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95pt;margin-top:475.65pt;height:60.8pt;width:188.75pt;z-index:251668480;v-text-anchor:middle;mso-width-relative:page;mso-height-relative:page;" filled="f" stroked="t" coordsize="21600,21600" o:gfxdata="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FVrkPaAAAADAEAAA8AAAAAAAAAAQAgAAAAIgAAAGRycy9kb3ducmV2LnhtbFBLAQIUABQA&#10;AAAIAIdO4kDcJqchYAIAAJYEAAAOAAAAAAAAAAEAIAAAACkBAABkcnMvZTJvRG9jLnhtbFBLBQYA&#10;AAAABgAGAFkBAAD7BQ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登记发证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2299335</wp:posOffset>
                </wp:positionH>
                <wp:positionV relativeFrom="paragraph">
                  <wp:posOffset>2240915</wp:posOffset>
                </wp:positionV>
                <wp:extent cx="0" cy="467995"/>
                <wp:effectExtent l="53975" t="0" r="60325" b="8255"/>
                <wp:wrapNone/>
                <wp:docPr id="17" name="直接箭头连接符 17"/>
                <wp:cNvGraphicFramePr/>
                <a:graphic xmlns:a="http://schemas.openxmlformats.org/drawingml/2006/main">
                  <a:graphicData uri="http://schemas.microsoft.com/office/word/2010/wordprocessingShape">
                    <wps:wsp>
                      <wps:cNvCnPr/>
                      <wps:spPr>
                        <a:xfrm>
                          <a:off x="3615055" y="3899535"/>
                          <a:ext cx="0" cy="46799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1.05pt;margin-top:176.45pt;height:36.85pt;width:0pt;z-index:251662336;mso-width-relative:page;mso-height-relative:page;" filled="f" stroked="t" coordsize="21600,21600" o:gfxdata="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o6ES1wAAAAsBAAAPAAAAAAAAAAEAIAAAACIAAABkcnMvZG93bnJl&#10;di54bWxQSwECFAAUAAAACACHTuJAvpt9m/4BAACwAwAADgAAAAAAAAABACAAAAAmAQAAZHJzL2Uy&#10;b0RvYy54bWxQSwUGAAAAAAYABgBZAQAAlgU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4457065</wp:posOffset>
                </wp:positionV>
                <wp:extent cx="0" cy="395605"/>
                <wp:effectExtent l="53975" t="0" r="60325" b="4445"/>
                <wp:wrapNone/>
                <wp:docPr id="23" name="直接箭头连接符 23"/>
                <wp:cNvGraphicFramePr/>
                <a:graphic xmlns:a="http://schemas.openxmlformats.org/drawingml/2006/main">
                  <a:graphicData uri="http://schemas.microsoft.com/office/word/2010/wordprocessingShape">
                    <wps:wsp>
                      <wps:cNvCnPr/>
                      <wps:spPr>
                        <a:xfrm>
                          <a:off x="3571875" y="6130290"/>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4pt;margin-top:350.95pt;height:31.15pt;width:0pt;z-index:251665408;mso-width-relative:page;mso-height-relative:page;" filled="f" stroked="t" coordsize="21600,21600" o:gfxdata="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XuYS1wAAAAsBAAAPAAAAAAAAAAEAIAAAACIAAABkcnMvZG93&#10;bnJldi54bWxQSwECFAAUAAAACACHTuJAQvYw1gECAACwAwAADgAAAAAAAAABACAAAAAmAQAAZHJz&#10;L2Uyb0RvYy54bWxQSwUGAAAAAAYABgBZAQAAmQU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3956050</wp:posOffset>
                </wp:positionH>
                <wp:positionV relativeFrom="paragraph">
                  <wp:posOffset>3718560</wp:posOffset>
                </wp:positionV>
                <wp:extent cx="1678940" cy="683895"/>
                <wp:effectExtent l="6350" t="6350" r="10160" b="14605"/>
                <wp:wrapNone/>
                <wp:docPr id="21" name="矩形 21"/>
                <wp:cNvGraphicFramePr/>
                <a:graphic xmlns:a="http://schemas.openxmlformats.org/drawingml/2006/main">
                  <a:graphicData uri="http://schemas.microsoft.com/office/word/2010/wordprocessingShape">
                    <wps:wsp>
                      <wps:cNvSpPr/>
                      <wps:spPr>
                        <a:xfrm>
                          <a:off x="5217160" y="5179060"/>
                          <a:ext cx="1678940" cy="683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w:t>
                            </w: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费用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1.5pt;margin-top:292.8pt;height:53.85pt;width:132.2pt;z-index:251661312;v-text-anchor:middle;mso-width-relative:page;mso-height-relative:page;" filled="f" stroked="t" coordsize="21600,21600" o:gfxdata="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q2NG2gAAAAsBAAAPAAAAAAAAAAEAIAAAACIAAABkcnMvZG93bnJldi54bWxQSwECFAAUAAAACACH&#10;TuJAdf+njlsCAACWBAAADgAAAAAAAAABACAAAAApAQAAZHJzL2Uyb0RvYy54bWxQSwUGAAAAAAYA&#10;BgBZAQAA9gU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缴纳</w:t>
                      </w: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费用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6"/>
                          <w:szCs w:val="3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2227580</wp:posOffset>
                </wp:positionH>
                <wp:positionV relativeFrom="paragraph">
                  <wp:posOffset>5633085</wp:posOffset>
                </wp:positionV>
                <wp:extent cx="0" cy="395605"/>
                <wp:effectExtent l="53975" t="0" r="60325" b="4445"/>
                <wp:wrapNone/>
                <wp:docPr id="25" name="直接箭头连接符 25"/>
                <wp:cNvGraphicFramePr/>
                <a:graphic xmlns:a="http://schemas.openxmlformats.org/drawingml/2006/main">
                  <a:graphicData uri="http://schemas.microsoft.com/office/word/2010/wordprocessingShape">
                    <wps:wsp>
                      <wps:cNvCnPr/>
                      <wps:spPr>
                        <a:xfrm>
                          <a:off x="3589655" y="7258685"/>
                          <a:ext cx="0" cy="395605"/>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5.4pt;margin-top:443.55pt;height:31.15pt;width:0pt;z-index:251667456;mso-width-relative:page;mso-height-relative:page;" filled="f" stroked="t" coordsize="21600,21600" o:gfxdata="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wPY39gAAAALAQAADwAAAAAAAAABACAAAAAiAAAAZHJzL2Rv&#10;d25yZXYueG1sUEsBAhQAFAAAAAgAh07iQPZYkEEBAgAAsAMAAA4AAAAAAAAAAQAgAAAAJwEAAGRy&#10;cy9lMm9Eb2MueG1sUEsFBgAAAAAGAAYAWQEAAJoFAAAAAA==&#10;">
                <v:fill on="f" focussize="0,0"/>
                <v:stroke weight="1.5pt" color="#000000 [3200]" miterlimit="8" joinstyle="miter" endarrow="open"/>
                <v:imagedata o:title=""/>
                <o:lock v:ext="edit" aspectratio="f"/>
              </v:shape>
            </w:pict>
          </mc:Fallback>
        </mc:AlternateConten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600" w:lineRule="exact"/>
        <w:ind w:firstLine="88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1384300</wp:posOffset>
                </wp:positionH>
                <wp:positionV relativeFrom="paragraph">
                  <wp:posOffset>43815</wp:posOffset>
                </wp:positionV>
                <wp:extent cx="2155190" cy="582295"/>
                <wp:effectExtent l="6350" t="6350" r="10160" b="20955"/>
                <wp:wrapNone/>
                <wp:docPr id="8" name="矩形 6"/>
                <wp:cNvGraphicFramePr/>
                <a:graphic xmlns:a="http://schemas.openxmlformats.org/drawingml/2006/main">
                  <a:graphicData uri="http://schemas.microsoft.com/office/word/2010/wordprocessingShape">
                    <wps:wsp>
                      <wps:cNvSpPr/>
                      <wps:spPr>
                        <a:xfrm>
                          <a:off x="2242185" y="3574415"/>
                          <a:ext cx="2155190" cy="582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现场测量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6" o:spid="_x0000_s1026" o:spt="1" style="position:absolute;left:0pt;margin-left:109pt;margin-top:3.45pt;height:45.85pt;width:169.7pt;z-index:251674624;v-text-anchor:middle;mso-width-relative:page;mso-height-relative:page;" filled="f" stroked="t" coordsize="21600,21600" o:gfxdata="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Btza/YAAAACAEAAA8AAAAAAAAAAQAgAAAAIgAAAGRycy9kb3ducmV2LnhtbFBLAQIUABQAAAAI&#10;AIdO4kDt0USuXwIAAJQEAAAOAAAAAAAAAAEAIAAAACcBAABkcnMvZTJvRG9jLnhtbFBLBQYAAAAA&#10;BgAGAFkBAAD4BQ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现场测量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4"/>
                          <w:szCs w:val="24"/>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4119880</wp:posOffset>
                </wp:positionH>
                <wp:positionV relativeFrom="paragraph">
                  <wp:posOffset>23495</wp:posOffset>
                </wp:positionV>
                <wp:extent cx="1532890" cy="597535"/>
                <wp:effectExtent l="6350" t="6350" r="22860" b="24765"/>
                <wp:wrapNone/>
                <wp:docPr id="11" name="矩形 11"/>
                <wp:cNvGraphicFramePr/>
                <a:graphic xmlns:a="http://schemas.openxmlformats.org/drawingml/2006/main">
                  <a:graphicData uri="http://schemas.microsoft.com/office/word/2010/wordprocessingShape">
                    <wps:wsp>
                      <wps:cNvSpPr/>
                      <wps:spPr>
                        <a:xfrm>
                          <a:off x="5628640" y="3566160"/>
                          <a:ext cx="1532890" cy="597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房屋质量安全鉴定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4.4pt;margin-top:1.85pt;height:47.05pt;width:120.7pt;z-index:251675648;v-text-anchor:middle;mso-width-relative:page;mso-height-relative:page;" filled="f" stroked="t" coordsize="21600,21600" o:gfxdata="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Ip2V2AAAAAgBAAAPAAAAAAAAAAEAIAAAACIAAABkcnMvZG93bnJldi54bWxQSwECFAAUAAAA&#10;CACHTuJAeZlDEWACAACWBAAADgAAAAAAAAABACAAAAAnAQAAZHJzL2Uyb0RvYy54bWxQSwUGAAAA&#10;AAYABgBZAQAA+QU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房屋质量安全鉴定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（技术单位）</w:t>
                      </w:r>
                    </w:p>
                  </w:txbxContent>
                </v:textbox>
              </v:rect>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3539490</wp:posOffset>
                </wp:positionH>
                <wp:positionV relativeFrom="paragraph">
                  <wp:posOffset>321945</wp:posOffset>
                </wp:positionV>
                <wp:extent cx="575945" cy="13335"/>
                <wp:effectExtent l="0" t="0" r="0" b="0"/>
                <wp:wrapNone/>
                <wp:docPr id="31" name="直接连接符 31"/>
                <wp:cNvGraphicFramePr/>
                <a:graphic xmlns:a="http://schemas.openxmlformats.org/drawingml/2006/main">
                  <a:graphicData uri="http://schemas.microsoft.com/office/word/2010/wordprocessingShape">
                    <wps:wsp>
                      <wps:cNvCnPr>
                        <a:stCxn id="8" idx="3"/>
                      </wps:cNvCnPr>
                      <wps:spPr>
                        <a:xfrm flipV="1">
                          <a:off x="5252085" y="3863975"/>
                          <a:ext cx="575945" cy="133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78.7pt;margin-top:25.35pt;height:1.05pt;width:45.35pt;z-index:251676672;mso-width-relative:page;mso-height-relative:page;" filled="f" stroked="t" coordsize="21600,21600" o:gfxdata="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pl1Q1wAAAAkBAAAPAAAAAAAAAAEAIAAAACIAAABkcnMvZG93bnJldi54bWxQSwECFAAUAAAA&#10;CACHTuJA3FGuZu8BAAClAwAADgAAAAAAAAABACAAAAAmAQAAZHJzL2Uyb0RvYy54bWxQSwUGAAAA&#10;AAYABgBZAQAAhwUAAAAA&#10;">
                <v:fill on="f" focussize="0,0"/>
                <v:stroke weight="1.5pt" color="#000000 [3200]" miterlimit="8" joinstyle="miter"/>
                <v:imagedata o:title=""/>
                <o:lock v:ext="edit" aspectratio="f"/>
              </v:lin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730250</wp:posOffset>
                </wp:positionH>
                <wp:positionV relativeFrom="paragraph">
                  <wp:posOffset>323850</wp:posOffset>
                </wp:positionV>
                <wp:extent cx="647700" cy="4445"/>
                <wp:effectExtent l="0" t="0" r="0" b="0"/>
                <wp:wrapNone/>
                <wp:docPr id="12" name="直接连接符 12"/>
                <wp:cNvGraphicFramePr/>
                <a:graphic xmlns:a="http://schemas.openxmlformats.org/drawingml/2006/main">
                  <a:graphicData uri="http://schemas.microsoft.com/office/word/2010/wordprocessingShape">
                    <wps:wsp>
                      <wps:cNvCnPr/>
                      <wps:spPr>
                        <a:xfrm>
                          <a:off x="1861185" y="3854450"/>
                          <a:ext cx="647700" cy="444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7.5pt;margin-top:25.5pt;height:0.35pt;width:51pt;z-index:251672576;mso-width-relative:page;mso-height-relative:page;" filled="f" stroked="t" coordsize="21600,21600" o:gfxdata="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E0yttcAAAAJAQAADwAAAAAAAAAB&#10;ACAAAAAiAAAAZHJzL2Rvd25yZXYueG1sUEsBAhQAFAAAAAgAh07iQEZI3jfYAQAAdAMAAA4AAAAA&#10;AAAAAQAgAAAAJgEAAGRycy9lMm9Eb2MueG1sUEsFBgAAAAAGAAYAWQEAAHAFAAAAAA==&#10;">
                <v:fill on="f" focussize="0,0"/>
                <v:stroke weight="1.5pt" color="#000000 [3200]" miterlimit="8" joinstyle="miter"/>
                <v:imagedata o:title=""/>
                <o:lock v:ext="edit" aspectratio="f"/>
              </v:lin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-516890</wp:posOffset>
                </wp:positionH>
                <wp:positionV relativeFrom="paragraph">
                  <wp:posOffset>43815</wp:posOffset>
                </wp:positionV>
                <wp:extent cx="1235075" cy="579120"/>
                <wp:effectExtent l="6350" t="6350" r="15875" b="24130"/>
                <wp:wrapNone/>
                <wp:docPr id="4" name="矩形 3"/>
                <wp:cNvGraphicFramePr/>
                <a:graphic xmlns:a="http://schemas.openxmlformats.org/drawingml/2006/main">
                  <a:graphicData uri="http://schemas.microsoft.com/office/word/2010/wordprocessingShape">
                    <wps:wsp>
                      <wps:cNvSpPr/>
                      <wps:spPr>
                        <a:xfrm>
                          <a:off x="626110" y="3574415"/>
                          <a:ext cx="1235075" cy="579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详细规划调整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40.7pt;margin-top:3.45pt;height:45.6pt;width:97.25pt;z-index:251673600;v-text-anchor:middle;mso-width-relative:page;mso-height-relative:page;" filled="f" stroked="t" coordsize="21600,21600" o:gfxdata="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lhrO/XAAAACAEAAA8AAAAAAAAAAQAgAAAAIgAAAGRycy9kb3ducmV2LnhtbFBLAQIUABQAAAAI&#10;AIdO4kDd9XtDYAIAAJMEAAAOAAAAAAAAAAEAIAAAACYBAABkcnMvZTJvRG9jLnhtbFBLBQYAAAAA&#10;BgAGAFkBAAD4BQ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详细规划调整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p>
                  </w:txbxContent>
                </v:textbox>
              </v:rect>
            </w:pict>
          </mc:Fallback>
        </mc:AlternateConten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600" w:lineRule="exact"/>
        <w:ind w:firstLine="88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3757930</wp:posOffset>
                </wp:positionH>
                <wp:positionV relativeFrom="paragraph">
                  <wp:posOffset>175895</wp:posOffset>
                </wp:positionV>
                <wp:extent cx="0" cy="396240"/>
                <wp:effectExtent l="0" t="53975" r="3810" b="60325"/>
                <wp:wrapNone/>
                <wp:docPr id="10" name="直接箭头连接符 10"/>
                <wp:cNvGraphicFramePr/>
                <a:graphic xmlns:a="http://schemas.openxmlformats.org/drawingml/2006/main">
                  <a:graphicData uri="http://schemas.microsoft.com/office/word/2010/wordprocessingShape">
                    <wps:wsp>
                      <wps:cNvCnPr/>
                      <wps:spPr>
                        <a:xfrm rot="16200000">
                          <a:off x="0" y="0"/>
                          <a:ext cx="0" cy="39624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5.9pt;margin-top:13.85pt;height:31.2pt;width:0pt;rotation:-5898240f;z-index:251669504;mso-width-relative:page;mso-height-relative:page;" filled="f" stroked="t" coordsize="21600,21600" o:gfxdata="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xeda3XAAAACQEAAA8AAAAAAAAAAQAgAAAAIgAAAGRycy9kb3ducmV2Lnht&#10;bFBLAQIUABQAAAAIAIdO4kDtgAxk+gEAALMDAAAOAAAAAAAAAAEAIAAAACYBAABkcnMvZTJvRG9j&#10;LnhtbFBLBQYAAAAABgAGAFkBAACSBQ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1111250</wp:posOffset>
                </wp:positionH>
                <wp:positionV relativeFrom="paragraph">
                  <wp:posOffset>69850</wp:posOffset>
                </wp:positionV>
                <wp:extent cx="2428240" cy="607695"/>
                <wp:effectExtent l="6350" t="6350" r="22860" b="14605"/>
                <wp:wrapNone/>
                <wp:docPr id="18" name="矩形 18"/>
                <wp:cNvGraphicFramePr/>
                <a:graphic xmlns:a="http://schemas.openxmlformats.org/drawingml/2006/main">
                  <a:graphicData uri="http://schemas.microsoft.com/office/word/2010/wordprocessingShape">
                    <wps:wsp>
                      <wps:cNvSpPr/>
                      <wps:spPr>
                        <a:xfrm>
                          <a:off x="2329180" y="4286885"/>
                          <a:ext cx="2428240" cy="607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城管局）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5pt;margin-top:5.5pt;height:47.85pt;width:191.2pt;z-index:251663360;v-text-anchor:middle;mso-width-relative:page;mso-height-relative:page;" filled="f" stroked="t" coordsize="21600,21600" o:gfxdata="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Gt&#10;ndLWAAAACgEAAA8AAAAAAAAAAQAgAAAAIgAAAGRycy9kb3ducmV2LnhtbFBLAQIUABQAAAAIAIdO&#10;4kC8sJ+bXgIAAJYEAAAOAAAAAAAAAAEAIAAAACUBAABkcnMvZTJvRG9jLnhtbFBLBQYAAAAABgAG&#10;AFkBAAD1BQ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（自然资源局</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黑体" w:hAnsi="黑体" w:eastAsia="黑体" w:cs="黑体"/>
                          <w:color w:val="000000" w:themeColor="text1"/>
                          <w:sz w:val="28"/>
                          <w:szCs w:val="2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城管局）</w:t>
                      </w:r>
                    </w:p>
                  </w:txbxContent>
                </v:textbox>
              </v:rect>
            </w:pict>
          </mc:Fallback>
        </mc:AlternateContent>
      </w:r>
    </w:p>
    <w:p>
      <w:pPr>
        <w:spacing w:line="600" w:lineRule="exact"/>
        <w:ind w:firstLine="64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spacing w:line="600" w:lineRule="exact"/>
        <w:ind w:firstLine="880" w:firstLineChars="200"/>
        <w:jc w:val="left"/>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1130935</wp:posOffset>
                </wp:positionH>
                <wp:positionV relativeFrom="paragraph">
                  <wp:posOffset>324485</wp:posOffset>
                </wp:positionV>
                <wp:extent cx="2397125" cy="709930"/>
                <wp:effectExtent l="6350" t="6350" r="15875" b="7620"/>
                <wp:wrapNone/>
                <wp:docPr id="19" name="矩形 19"/>
                <wp:cNvGraphicFramePr/>
                <a:graphic xmlns:a="http://schemas.openxmlformats.org/drawingml/2006/main">
                  <a:graphicData uri="http://schemas.microsoft.com/office/word/2010/wordprocessingShape">
                    <wps:wsp>
                      <wps:cNvSpPr/>
                      <wps:spPr>
                        <a:xfrm>
                          <a:off x="2381885" y="5273675"/>
                          <a:ext cx="2397125" cy="709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审批申请、登记申请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05pt;margin-top:25.55pt;height:55.9pt;width:188.75pt;z-index:251664384;v-text-anchor:middle;mso-width-relative:page;mso-height-relative:page;" filled="f" stroked="t" coordsize="21600,21600" o:gfxdata="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ClX6tgAAAAKAQAADwAAAAAAAAABACAAAAAiAAAAZHJzL2Rvd25yZXYueG1sUEsBAhQAFAAA&#10;AAgAh07iQIvP0uphAgAAlgQAAA4AAAAAAAAAAQAgAAAAJwEAAGRycy9lMm9Eb2MueG1sUEsFBgAA&#10;AAAGAAYAWQEAAPoF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审批申请、登记申请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(安置户）</w:t>
                      </w:r>
                    </w:p>
                  </w:txbxContent>
                </v:textbox>
              </v:rect>
            </w:pict>
          </mc:Fallback>
        </mc:AlternateContent>
      </w:r>
    </w:p>
    <w:p>
      <w:pPr>
        <w:rPr>
          <w:color w:val="000000" w:themeColor="text1"/>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3746500</wp:posOffset>
                </wp:positionH>
                <wp:positionV relativeFrom="paragraph">
                  <wp:posOffset>100330</wp:posOffset>
                </wp:positionV>
                <wp:extent cx="0" cy="396240"/>
                <wp:effectExtent l="0" t="53975" r="3810" b="60325"/>
                <wp:wrapNone/>
                <wp:docPr id="2" name="直接箭头连接符 2"/>
                <wp:cNvGraphicFramePr/>
                <a:graphic xmlns:a="http://schemas.openxmlformats.org/drawingml/2006/main">
                  <a:graphicData uri="http://schemas.microsoft.com/office/word/2010/wordprocessingShape">
                    <wps:wsp>
                      <wps:cNvCnPr/>
                      <wps:spPr>
                        <a:xfrm rot="16200000">
                          <a:off x="0" y="0"/>
                          <a:ext cx="0" cy="39624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5pt;margin-top:7.9pt;height:31.2pt;width:0pt;rotation:-5898240f;z-index:251677696;mso-width-relative:page;mso-height-relative:page;" filled="f" stroked="t" coordsize="21600,21600" o:gfxdata="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n7PEdcAAAAJAQAADwAAAAAAAAABACAAAAAiAAAAZHJzL2Rvd25yZXYueG1s&#10;UEsBAhQAFAAAAAgAh07iQGTX2Xv5AQAAsQMAAA4AAAAAAAAAAQAgAAAAJgEAAGRycy9lMm9Eb2Mu&#10;eG1sUEsFBgAAAAAGAAYAWQEAAJEFAAAAAA==&#10;">
                <v:fill on="f" focussize="0,0"/>
                <v:stroke weight="1.5pt" color="#000000 [3200]" miterlimit="8" joinstyle="miter" endarrow="open"/>
                <v:imagedata o:title=""/>
                <o:lock v:ext="edit" aspectratio="f"/>
              </v:shape>
            </w:pict>
          </mc:Fallback>
        </mc:AlternateContent>
      </w:r>
      <w:r>
        <w:rPr>
          <w:color w:val="000000" w:themeColor="text1"/>
          <w:sz w:val="4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1142365</wp:posOffset>
                </wp:positionH>
                <wp:positionV relativeFrom="paragraph">
                  <wp:posOffset>1097280</wp:posOffset>
                </wp:positionV>
                <wp:extent cx="2397125" cy="737235"/>
                <wp:effectExtent l="6350" t="6350" r="15875" b="18415"/>
                <wp:wrapNone/>
                <wp:docPr id="24" name="矩形 24"/>
                <wp:cNvGraphicFramePr/>
                <a:graphic xmlns:a="http://schemas.openxmlformats.org/drawingml/2006/main">
                  <a:graphicData uri="http://schemas.microsoft.com/office/word/2010/wordprocessingShape">
                    <wps:wsp>
                      <wps:cNvSpPr/>
                      <wps:spPr>
                        <a:xfrm>
                          <a:off x="2390775" y="6517640"/>
                          <a:ext cx="2397125" cy="7372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呈报县政府审批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w:t>
                            </w: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天岳</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街道办事处）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95pt;margin-top:86.4pt;height:58.05pt;width:188.75pt;z-index:251666432;v-text-anchor:middle;mso-width-relative:page;mso-height-relative:page;" filled="f" stroked="t" coordsize="21600,21600" o:gfxdata="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93aYx2QAAAAsBAAAPAAAAAAAAAAEAIAAAACIAAABkcnMvZG93bnJldi54bWxQSwECFAAUAAAA&#10;CACHTuJAgoJBY18CAACWBAAADgAAAAAAAAABACAAAAAoAQAAZHJzL2Uyb0RvYy54bWxQSwUGAAAA&#10;AAYABgBZAQAA+QU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呈报县政府审批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(汉昌、</w:t>
                      </w:r>
                      <w:r>
                        <w:rPr>
                          <w:rFonts w:hint="eastAsia" w:ascii="黑体" w:hAnsi="黑体" w:eastAsia="黑体" w:cs="黑体"/>
                          <w:color w:val="000000" w:themeColor="text1"/>
                          <w:sz w:val="26"/>
                          <w:szCs w:val="26"/>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天岳</w:t>
                      </w:r>
                      <w:r>
                        <w:rPr>
                          <w:rFonts w:hint="eastAsia" w:ascii="黑体" w:hAnsi="黑体" w:eastAsia="黑体" w:cs="黑体"/>
                          <w:color w:val="000000" w:themeColor="text1"/>
                          <w:sz w:val="28"/>
                          <w:szCs w:val="2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街道办事处）</w:t>
                      </w:r>
                    </w:p>
                  </w:txbxContent>
                </v:textbox>
              </v:rect>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6A4618"/>
    <w:multiLevelType w:val="singleLevel"/>
    <w:tmpl w:val="E66A461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WM2MjRhYTQ2NTQ5MjVjODA4YjVmNzJiMzAzNmYifQ=="/>
  </w:docVars>
  <w:rsids>
    <w:rsidRoot w:val="550654BA"/>
    <w:rsid w:val="02585412"/>
    <w:rsid w:val="04FB47DA"/>
    <w:rsid w:val="0537299D"/>
    <w:rsid w:val="05E946F7"/>
    <w:rsid w:val="06D47914"/>
    <w:rsid w:val="07AD2313"/>
    <w:rsid w:val="09756A59"/>
    <w:rsid w:val="0C5506BE"/>
    <w:rsid w:val="0CE13D31"/>
    <w:rsid w:val="0ED87C76"/>
    <w:rsid w:val="0FE2331D"/>
    <w:rsid w:val="10691DBA"/>
    <w:rsid w:val="1B2A3ADD"/>
    <w:rsid w:val="1BB63D3D"/>
    <w:rsid w:val="1F070C0C"/>
    <w:rsid w:val="20E31FFD"/>
    <w:rsid w:val="220C47A4"/>
    <w:rsid w:val="2329114F"/>
    <w:rsid w:val="259C1858"/>
    <w:rsid w:val="25B2681B"/>
    <w:rsid w:val="28F94B8E"/>
    <w:rsid w:val="29E95AF1"/>
    <w:rsid w:val="2BC41616"/>
    <w:rsid w:val="2F216414"/>
    <w:rsid w:val="33840C3B"/>
    <w:rsid w:val="33AC3B3F"/>
    <w:rsid w:val="33B147E2"/>
    <w:rsid w:val="34F022CE"/>
    <w:rsid w:val="356F628B"/>
    <w:rsid w:val="36AB370E"/>
    <w:rsid w:val="378C56F5"/>
    <w:rsid w:val="3A0158B0"/>
    <w:rsid w:val="3C131341"/>
    <w:rsid w:val="3C7252C2"/>
    <w:rsid w:val="3DBF5793"/>
    <w:rsid w:val="3EAD35D8"/>
    <w:rsid w:val="44CB68A8"/>
    <w:rsid w:val="44D10F97"/>
    <w:rsid w:val="49A07F6D"/>
    <w:rsid w:val="4C097E58"/>
    <w:rsid w:val="54D66C47"/>
    <w:rsid w:val="550654BA"/>
    <w:rsid w:val="57AC383C"/>
    <w:rsid w:val="5BEC6A3C"/>
    <w:rsid w:val="5FA63E14"/>
    <w:rsid w:val="610D6050"/>
    <w:rsid w:val="659D71F9"/>
    <w:rsid w:val="6ABE0C24"/>
    <w:rsid w:val="6F513465"/>
    <w:rsid w:val="6FAA391A"/>
    <w:rsid w:val="6FC90EC5"/>
    <w:rsid w:val="70002E2E"/>
    <w:rsid w:val="710E75F8"/>
    <w:rsid w:val="73493A05"/>
    <w:rsid w:val="74644860"/>
    <w:rsid w:val="77927D6B"/>
    <w:rsid w:val="78397EDF"/>
    <w:rsid w:val="7A253FE8"/>
    <w:rsid w:val="7AB8712F"/>
    <w:rsid w:val="7B235C08"/>
    <w:rsid w:val="7BE6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5260</Words>
  <Characters>5372</Characters>
  <Lines>0</Lines>
  <Paragraphs>0</Paragraphs>
  <TotalTime>6</TotalTime>
  <ScaleCrop>false</ScaleCrop>
  <LinksUpToDate>false</LinksUpToDate>
  <CharactersWithSpaces>5434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2024-09-02T01:50:00Z</dcterms:created>
  <dc:creator>Administrator</dc:creator>
  <cp:lastModifiedBy>Administrator</cp:lastModifiedBy>
  <cp:lastPrinted>2025-04-08T02:44:00Z</cp:lastPrinted>
  <dcterms:modified xsi:type="dcterms:W3CDTF">2025-04-24T09:06:59Z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2242244D36024FCCABE2FBEB269C055B_12</vt:lpwstr>
  </property>
</Properties>
</file>