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GoBack"/>
      <w:bookmarkEnd w:id="0"/>
      <w:r>
        <w:rPr>
          <w:rFonts w:hint="eastAsia" w:ascii="方正小标宋简体" w:eastAsia="方正小标宋简体"/>
          <w:sz w:val="44"/>
          <w:szCs w:val="44"/>
        </w:rPr>
        <w:t>湖南省2024年惠农补贴政策与涉农收费项目清单</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472"/>
        <w:gridCol w:w="2233"/>
        <w:gridCol w:w="2927"/>
        <w:gridCol w:w="3705"/>
        <w:gridCol w:w="8659"/>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trPr>
        <w:tc>
          <w:tcPr>
            <w:tcW w:w="155" w:type="pct"/>
            <w:shd w:val="clear" w:color="auto" w:fill="auto"/>
            <w:noWrap/>
            <w:vAlign w:val="center"/>
          </w:tcPr>
          <w:p>
            <w:pPr>
              <w:widowControl/>
              <w:snapToGrid w:val="0"/>
              <w:spacing w:line="280" w:lineRule="exact"/>
              <w:jc w:val="center"/>
              <w:rPr>
                <w:rFonts w:ascii="黑体" w:hAnsi="黑体" w:eastAsia="黑体" w:cs="宋体"/>
                <w:color w:val="000000"/>
                <w:kern w:val="0"/>
                <w:sz w:val="22"/>
              </w:rPr>
            </w:pPr>
            <w:r>
              <w:rPr>
                <w:rFonts w:hint="eastAsia" w:ascii="黑体" w:hAnsi="黑体" w:eastAsia="黑体" w:cs="宋体"/>
                <w:color w:val="000000"/>
                <w:kern w:val="0"/>
                <w:sz w:val="22"/>
              </w:rPr>
              <w:t>序号</w:t>
            </w:r>
          </w:p>
        </w:tc>
        <w:tc>
          <w:tcPr>
            <w:tcW w:w="348" w:type="pct"/>
            <w:shd w:val="clear" w:color="auto" w:fill="auto"/>
            <w:vAlign w:val="center"/>
          </w:tcPr>
          <w:p>
            <w:pPr>
              <w:widowControl/>
              <w:snapToGrid w:val="0"/>
              <w:spacing w:line="280" w:lineRule="exact"/>
              <w:jc w:val="center"/>
              <w:rPr>
                <w:rFonts w:ascii="黑体" w:hAnsi="黑体" w:eastAsia="黑体" w:cs="宋体"/>
                <w:color w:val="000000"/>
                <w:kern w:val="0"/>
                <w:sz w:val="22"/>
              </w:rPr>
            </w:pPr>
            <w:r>
              <w:rPr>
                <w:rFonts w:hint="eastAsia" w:ascii="黑体" w:hAnsi="黑体" w:eastAsia="黑体" w:cs="宋体"/>
                <w:color w:val="000000"/>
                <w:kern w:val="0"/>
                <w:sz w:val="22"/>
              </w:rPr>
              <w:t>主管部门</w:t>
            </w:r>
          </w:p>
        </w:tc>
        <w:tc>
          <w:tcPr>
            <w:tcW w:w="528" w:type="pct"/>
            <w:shd w:val="clear" w:color="auto" w:fill="auto"/>
            <w:vAlign w:val="center"/>
          </w:tcPr>
          <w:p>
            <w:pPr>
              <w:widowControl/>
              <w:snapToGrid w:val="0"/>
              <w:spacing w:line="280" w:lineRule="exact"/>
              <w:jc w:val="center"/>
              <w:rPr>
                <w:rFonts w:ascii="黑体" w:hAnsi="黑体" w:eastAsia="黑体" w:cs="宋体"/>
                <w:color w:val="000000"/>
                <w:kern w:val="0"/>
                <w:sz w:val="22"/>
              </w:rPr>
            </w:pPr>
            <w:r>
              <w:rPr>
                <w:rFonts w:hint="eastAsia" w:ascii="黑体" w:hAnsi="黑体" w:eastAsia="黑体" w:cs="宋体"/>
                <w:color w:val="000000"/>
                <w:kern w:val="0"/>
                <w:sz w:val="22"/>
              </w:rPr>
              <w:t>项目名称</w:t>
            </w:r>
          </w:p>
        </w:tc>
        <w:tc>
          <w:tcPr>
            <w:tcW w:w="692" w:type="pct"/>
            <w:shd w:val="clear" w:color="auto" w:fill="auto"/>
            <w:vAlign w:val="center"/>
          </w:tcPr>
          <w:p>
            <w:pPr>
              <w:widowControl/>
              <w:snapToGrid w:val="0"/>
              <w:spacing w:line="280" w:lineRule="exact"/>
              <w:jc w:val="center"/>
              <w:rPr>
                <w:rFonts w:ascii="黑体" w:hAnsi="黑体" w:eastAsia="黑体" w:cs="宋体"/>
                <w:color w:val="000000"/>
                <w:kern w:val="0"/>
                <w:sz w:val="22"/>
              </w:rPr>
            </w:pPr>
            <w:r>
              <w:rPr>
                <w:rFonts w:hint="eastAsia" w:ascii="黑体" w:hAnsi="黑体" w:eastAsia="黑体" w:cs="宋体"/>
                <w:color w:val="000000"/>
                <w:kern w:val="0"/>
                <w:sz w:val="22"/>
              </w:rPr>
              <w:t>政策依据</w:t>
            </w:r>
          </w:p>
        </w:tc>
        <w:tc>
          <w:tcPr>
            <w:tcW w:w="876" w:type="pct"/>
            <w:shd w:val="clear" w:color="auto" w:fill="auto"/>
            <w:vAlign w:val="center"/>
          </w:tcPr>
          <w:p>
            <w:pPr>
              <w:widowControl/>
              <w:snapToGrid w:val="0"/>
              <w:spacing w:line="280" w:lineRule="exact"/>
              <w:jc w:val="center"/>
              <w:rPr>
                <w:rFonts w:ascii="黑体" w:hAnsi="黑体" w:eastAsia="黑体" w:cs="宋体"/>
                <w:color w:val="000000"/>
                <w:kern w:val="0"/>
                <w:sz w:val="22"/>
              </w:rPr>
            </w:pPr>
            <w:r>
              <w:rPr>
                <w:rFonts w:hint="eastAsia" w:ascii="黑体" w:hAnsi="黑体" w:eastAsia="黑体" w:cs="宋体"/>
                <w:color w:val="000000"/>
                <w:kern w:val="0"/>
                <w:sz w:val="22"/>
              </w:rPr>
              <w:t>享受对象（地区）</w:t>
            </w:r>
          </w:p>
        </w:tc>
        <w:tc>
          <w:tcPr>
            <w:tcW w:w="2047" w:type="pct"/>
            <w:shd w:val="clear" w:color="auto" w:fill="auto"/>
            <w:vAlign w:val="center"/>
          </w:tcPr>
          <w:p>
            <w:pPr>
              <w:widowControl/>
              <w:snapToGrid w:val="0"/>
              <w:spacing w:line="280" w:lineRule="exact"/>
              <w:jc w:val="center"/>
              <w:rPr>
                <w:rFonts w:ascii="黑体" w:hAnsi="黑体" w:eastAsia="黑体" w:cs="宋体"/>
                <w:color w:val="000000"/>
                <w:kern w:val="0"/>
                <w:sz w:val="22"/>
              </w:rPr>
            </w:pPr>
            <w:r>
              <w:rPr>
                <w:rFonts w:hint="eastAsia" w:ascii="黑体" w:hAnsi="黑体" w:eastAsia="黑体" w:cs="宋体"/>
                <w:color w:val="000000"/>
                <w:kern w:val="0"/>
                <w:sz w:val="22"/>
              </w:rPr>
              <w:t>政策内容与标准</w:t>
            </w:r>
          </w:p>
        </w:tc>
        <w:tc>
          <w:tcPr>
            <w:tcW w:w="354" w:type="pct"/>
            <w:shd w:val="clear" w:color="auto" w:fill="auto"/>
            <w:noWrap/>
            <w:vAlign w:val="center"/>
          </w:tcPr>
          <w:p>
            <w:pPr>
              <w:widowControl/>
              <w:snapToGrid w:val="0"/>
              <w:spacing w:line="280" w:lineRule="exact"/>
              <w:jc w:val="center"/>
              <w:rPr>
                <w:rFonts w:ascii="黑体" w:hAnsi="黑体" w:eastAsia="黑体" w:cs="宋体"/>
                <w:color w:val="000000"/>
                <w:kern w:val="0"/>
                <w:sz w:val="22"/>
              </w:rPr>
            </w:pPr>
            <w:r>
              <w:rPr>
                <w:rFonts w:hint="eastAsia" w:ascii="黑体" w:hAnsi="黑体" w:eastAsia="黑体" w:cs="宋体"/>
                <w:color w:val="000000"/>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155" w:type="pct"/>
            <w:shd w:val="clear" w:color="auto" w:fill="auto"/>
            <w:noWrap/>
            <w:vAlign w:val="center"/>
          </w:tcPr>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348" w:type="pct"/>
            <w:shd w:val="clear" w:color="auto" w:fill="auto"/>
            <w:vAlign w:val="center"/>
          </w:tcPr>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湖南省发展和改革委员会</w:t>
            </w:r>
          </w:p>
        </w:tc>
        <w:tc>
          <w:tcPr>
            <w:tcW w:w="528" w:type="pct"/>
            <w:shd w:val="clear" w:color="auto" w:fill="auto"/>
            <w:vAlign w:val="center"/>
          </w:tcPr>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稻谷最低收购价政策</w:t>
            </w:r>
          </w:p>
        </w:tc>
        <w:tc>
          <w:tcPr>
            <w:tcW w:w="692"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《国家发展改革委等部门关于公布2024年稻谷最低收购价格的通知》（发改价格</w:t>
            </w:r>
            <w:r>
              <w:rPr>
                <w:rFonts w:ascii="黑体" w:hAnsi="黑体" w:eastAsia="黑体" w:cs="宋体"/>
                <w:color w:val="000000"/>
                <w:kern w:val="0"/>
                <w:sz w:val="22"/>
              </w:rPr>
              <w:t>〔</w:t>
            </w:r>
            <w:r>
              <w:rPr>
                <w:rFonts w:ascii="宋体" w:hAnsi="宋体" w:eastAsia="宋体" w:cs="宋体"/>
                <w:color w:val="000000"/>
                <w:kern w:val="0"/>
                <w:sz w:val="22"/>
              </w:rPr>
              <w:t>2024</w:t>
            </w:r>
            <w:r>
              <w:rPr>
                <w:rFonts w:ascii="黑体" w:hAnsi="黑体" w:eastAsia="黑体" w:cs="宋体"/>
                <w:color w:val="000000"/>
                <w:kern w:val="0"/>
                <w:sz w:val="22"/>
              </w:rPr>
              <w:t>〕</w:t>
            </w:r>
            <w:r>
              <w:rPr>
                <w:rFonts w:ascii="宋体" w:hAnsi="宋体" w:eastAsia="宋体" w:cs="宋体"/>
                <w:color w:val="000000"/>
                <w:kern w:val="0"/>
                <w:sz w:val="22"/>
              </w:rPr>
              <w:t>243号）</w:t>
            </w:r>
          </w:p>
        </w:tc>
        <w:tc>
          <w:tcPr>
            <w:tcW w:w="876"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稻谷主产区</w:t>
            </w:r>
          </w:p>
        </w:tc>
        <w:tc>
          <w:tcPr>
            <w:tcW w:w="2047"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2024年生产的三等早籼稻、中晚籼稻和粳稻最低收购价分别为每50公斤127元、129元和131元。</w:t>
            </w:r>
          </w:p>
        </w:tc>
        <w:tc>
          <w:tcPr>
            <w:tcW w:w="354" w:type="pct"/>
            <w:shd w:val="clear" w:color="auto" w:fill="auto"/>
            <w:noWrap/>
            <w:vAlign w:val="center"/>
          </w:tcPr>
          <w:p>
            <w:pPr>
              <w:widowControl/>
              <w:snapToGrid w:val="0"/>
              <w:spacing w:line="280" w:lineRule="exact"/>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155" w:type="pct"/>
            <w:vMerge w:val="restart"/>
            <w:shd w:val="clear" w:color="auto" w:fill="auto"/>
            <w:noWrap/>
            <w:vAlign w:val="center"/>
          </w:tcPr>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348" w:type="pct"/>
            <w:vMerge w:val="restart"/>
            <w:shd w:val="clear" w:color="auto" w:fill="auto"/>
            <w:vAlign w:val="center"/>
          </w:tcPr>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湖南省</w:t>
            </w:r>
          </w:p>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教育厅</w:t>
            </w:r>
          </w:p>
        </w:tc>
        <w:tc>
          <w:tcPr>
            <w:tcW w:w="528" w:type="pct"/>
            <w:shd w:val="clear" w:color="auto" w:fill="auto"/>
            <w:vAlign w:val="center"/>
          </w:tcPr>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农村义务教育阶段收费项目及标准</w:t>
            </w:r>
          </w:p>
        </w:tc>
        <w:tc>
          <w:tcPr>
            <w:tcW w:w="692"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《关于印发</w:t>
            </w:r>
            <w:r>
              <w:rPr>
                <w:rFonts w:ascii="仿宋_GB2312" w:hAnsi="宋体" w:eastAsia="仿宋_GB2312" w:cs="宋体"/>
                <w:color w:val="000000"/>
                <w:kern w:val="0"/>
                <w:sz w:val="22"/>
              </w:rPr>
              <w:t>&lt;</w:t>
            </w:r>
            <w:r>
              <w:rPr>
                <w:rFonts w:ascii="宋体" w:hAnsi="宋体" w:eastAsia="宋体" w:cs="宋体"/>
                <w:color w:val="000000"/>
                <w:kern w:val="0"/>
                <w:sz w:val="22"/>
              </w:rPr>
              <w:t>湖南省中小学服务性收费和代收费管理办法（2022年修订）</w:t>
            </w:r>
            <w:r>
              <w:rPr>
                <w:rFonts w:ascii="仿宋_GB2312" w:hAnsi="宋体" w:eastAsia="仿宋_GB2312" w:cs="宋体"/>
                <w:color w:val="000000"/>
                <w:kern w:val="0"/>
                <w:sz w:val="22"/>
              </w:rPr>
              <w:t>&gt;</w:t>
            </w:r>
            <w:r>
              <w:rPr>
                <w:rFonts w:ascii="宋体" w:hAnsi="宋体" w:eastAsia="宋体" w:cs="宋体"/>
                <w:color w:val="000000"/>
                <w:kern w:val="0"/>
                <w:sz w:val="22"/>
              </w:rPr>
              <w:t>的通知》（湘发改价费规〔2022〕450号）</w:t>
            </w:r>
          </w:p>
        </w:tc>
        <w:tc>
          <w:tcPr>
            <w:tcW w:w="876"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农村地区义务教育阶段学校学生</w:t>
            </w:r>
          </w:p>
        </w:tc>
        <w:tc>
          <w:tcPr>
            <w:tcW w:w="2047"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根据学生自愿原则，除按规定向学生收取伙食费（含饭菜加热服务费或大米加工服务费）、作业本费、教辅材料费、课后服务费外，严禁收取其他任何费用。</w:t>
            </w:r>
          </w:p>
        </w:tc>
        <w:tc>
          <w:tcPr>
            <w:tcW w:w="354" w:type="pct"/>
            <w:shd w:val="clear" w:color="auto" w:fill="auto"/>
            <w:noWrap/>
            <w:vAlign w:val="center"/>
          </w:tcPr>
          <w:p>
            <w:pPr>
              <w:widowControl/>
              <w:snapToGrid w:val="0"/>
              <w:spacing w:line="280" w:lineRule="exact"/>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trPr>
        <w:tc>
          <w:tcPr>
            <w:tcW w:w="155" w:type="pct"/>
            <w:vMerge w:val="continue"/>
            <w:vAlign w:val="center"/>
          </w:tcPr>
          <w:p>
            <w:pPr>
              <w:widowControl/>
              <w:snapToGrid w:val="0"/>
              <w:spacing w:line="280" w:lineRule="exact"/>
              <w:jc w:val="left"/>
              <w:rPr>
                <w:rFonts w:ascii="宋体" w:hAnsi="宋体" w:eastAsia="宋体" w:cs="宋体"/>
                <w:color w:val="000000"/>
                <w:kern w:val="0"/>
                <w:sz w:val="22"/>
              </w:rPr>
            </w:pPr>
          </w:p>
        </w:tc>
        <w:tc>
          <w:tcPr>
            <w:tcW w:w="348" w:type="pct"/>
            <w:vMerge w:val="continue"/>
            <w:vAlign w:val="center"/>
          </w:tcPr>
          <w:p>
            <w:pPr>
              <w:widowControl/>
              <w:snapToGrid w:val="0"/>
              <w:spacing w:line="280" w:lineRule="exact"/>
              <w:jc w:val="left"/>
              <w:rPr>
                <w:rFonts w:ascii="宋体" w:hAnsi="宋体" w:eastAsia="宋体" w:cs="宋体"/>
                <w:color w:val="000000"/>
                <w:kern w:val="0"/>
                <w:sz w:val="22"/>
              </w:rPr>
            </w:pPr>
          </w:p>
        </w:tc>
        <w:tc>
          <w:tcPr>
            <w:tcW w:w="528" w:type="pct"/>
            <w:shd w:val="clear" w:color="auto" w:fill="auto"/>
            <w:vAlign w:val="center"/>
          </w:tcPr>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农村义务教育免学杂费公用经费补助</w:t>
            </w:r>
          </w:p>
        </w:tc>
        <w:tc>
          <w:tcPr>
            <w:tcW w:w="692"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1.《湖南省进一步完善城乡义务教育经费保障机制实施方案》的通知（湘政办发〔2016〕39号）                   2.《关于进一步推动全省城乡义务教育优质均衡发展若干政策的意见》的通知（湘办发〔2020〕9号）                      3.《关于下达2023年城乡义务教育补助经费预算的通知》（财教〔2023〕64号）</w:t>
            </w:r>
          </w:p>
        </w:tc>
        <w:tc>
          <w:tcPr>
            <w:tcW w:w="876"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农村地区义务教育阶段学校学生</w:t>
            </w:r>
          </w:p>
        </w:tc>
        <w:tc>
          <w:tcPr>
            <w:tcW w:w="2047"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普通小学每生每年720元、普通初中每生每年940元、特教学生每生每年6000元，寄宿学生额外补助每生每年400元；对不足100人的学校按100人核定公用经费。</w:t>
            </w:r>
          </w:p>
        </w:tc>
        <w:tc>
          <w:tcPr>
            <w:tcW w:w="354" w:type="pct"/>
            <w:shd w:val="clear" w:color="auto" w:fill="auto"/>
            <w:noWrap/>
            <w:vAlign w:val="center"/>
          </w:tcPr>
          <w:p>
            <w:pPr>
              <w:widowControl/>
              <w:snapToGrid w:val="0"/>
              <w:spacing w:line="280" w:lineRule="exact"/>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155" w:type="pct"/>
            <w:vMerge w:val="continue"/>
            <w:vAlign w:val="center"/>
          </w:tcPr>
          <w:p>
            <w:pPr>
              <w:widowControl/>
              <w:snapToGrid w:val="0"/>
              <w:spacing w:line="280" w:lineRule="exact"/>
              <w:jc w:val="left"/>
              <w:rPr>
                <w:rFonts w:ascii="宋体" w:hAnsi="宋体" w:eastAsia="宋体" w:cs="宋体"/>
                <w:color w:val="000000"/>
                <w:kern w:val="0"/>
                <w:sz w:val="22"/>
              </w:rPr>
            </w:pPr>
          </w:p>
        </w:tc>
        <w:tc>
          <w:tcPr>
            <w:tcW w:w="348" w:type="pct"/>
            <w:vMerge w:val="continue"/>
            <w:vAlign w:val="center"/>
          </w:tcPr>
          <w:p>
            <w:pPr>
              <w:widowControl/>
              <w:snapToGrid w:val="0"/>
              <w:spacing w:line="280" w:lineRule="exact"/>
              <w:jc w:val="left"/>
              <w:rPr>
                <w:rFonts w:ascii="宋体" w:hAnsi="宋体" w:eastAsia="宋体" w:cs="宋体"/>
                <w:color w:val="000000"/>
                <w:kern w:val="0"/>
                <w:sz w:val="22"/>
              </w:rPr>
            </w:pPr>
          </w:p>
        </w:tc>
        <w:tc>
          <w:tcPr>
            <w:tcW w:w="528" w:type="pct"/>
            <w:shd w:val="clear" w:color="auto" w:fill="auto"/>
            <w:vAlign w:val="center"/>
          </w:tcPr>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义务教育家庭经济困难学生生活补助</w:t>
            </w:r>
          </w:p>
        </w:tc>
        <w:tc>
          <w:tcPr>
            <w:tcW w:w="692"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1.《财政部 教育部关于下达2024年城乡义务教育补助经费预算的通知》（财教〔2024〕64号）                                       2.《关于印发湖南省学生资助资金管理办法的通知》（湘财教〔2022〕13号）</w:t>
            </w:r>
          </w:p>
        </w:tc>
        <w:tc>
          <w:tcPr>
            <w:tcW w:w="876"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全省城乡义务教育学校在校就读的家庭经济困难寄宿生和特别困难的非寄宿生</w:t>
            </w:r>
          </w:p>
        </w:tc>
        <w:tc>
          <w:tcPr>
            <w:tcW w:w="2047"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寄宿生生活补助标准为：小学每生每年1250元，初中每生每年1500元，寄宿生平均资助面为24%；                                                                                    非寄宿生生活补助标准为：小学每生每年625元，初中每生每年750元，非寄宿生平均资助面为11%。</w:t>
            </w:r>
          </w:p>
        </w:tc>
        <w:tc>
          <w:tcPr>
            <w:tcW w:w="354" w:type="pct"/>
            <w:shd w:val="clear" w:color="auto" w:fill="auto"/>
            <w:noWrap/>
            <w:vAlign w:val="center"/>
          </w:tcPr>
          <w:p>
            <w:pPr>
              <w:widowControl/>
              <w:snapToGrid w:val="0"/>
              <w:spacing w:line="280" w:lineRule="exact"/>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155" w:type="pct"/>
            <w:vMerge w:val="continue"/>
            <w:vAlign w:val="center"/>
          </w:tcPr>
          <w:p>
            <w:pPr>
              <w:widowControl/>
              <w:snapToGrid w:val="0"/>
              <w:spacing w:line="280" w:lineRule="exact"/>
              <w:jc w:val="left"/>
              <w:rPr>
                <w:rFonts w:ascii="宋体" w:hAnsi="宋体" w:eastAsia="宋体" w:cs="宋体"/>
                <w:color w:val="000000"/>
                <w:kern w:val="0"/>
                <w:sz w:val="22"/>
              </w:rPr>
            </w:pPr>
          </w:p>
        </w:tc>
        <w:tc>
          <w:tcPr>
            <w:tcW w:w="348" w:type="pct"/>
            <w:vMerge w:val="continue"/>
            <w:vAlign w:val="center"/>
          </w:tcPr>
          <w:p>
            <w:pPr>
              <w:widowControl/>
              <w:snapToGrid w:val="0"/>
              <w:spacing w:line="280" w:lineRule="exact"/>
              <w:jc w:val="left"/>
              <w:rPr>
                <w:rFonts w:ascii="宋体" w:hAnsi="宋体" w:eastAsia="宋体" w:cs="宋体"/>
                <w:color w:val="000000"/>
                <w:kern w:val="0"/>
                <w:sz w:val="22"/>
              </w:rPr>
            </w:pPr>
          </w:p>
        </w:tc>
        <w:tc>
          <w:tcPr>
            <w:tcW w:w="528" w:type="pct"/>
            <w:shd w:val="clear" w:color="auto" w:fill="auto"/>
            <w:vAlign w:val="center"/>
          </w:tcPr>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家庭经济困难幼儿入园补助金</w:t>
            </w:r>
          </w:p>
        </w:tc>
        <w:tc>
          <w:tcPr>
            <w:tcW w:w="692"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《关于印发湖南省学生资助资金管理办法的通知》（湘财教〔2022〕13号）</w:t>
            </w:r>
          </w:p>
        </w:tc>
        <w:tc>
          <w:tcPr>
            <w:tcW w:w="876"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在公办幼儿园和民办普惠性幼儿园在园就读的家庭经济困难幼儿</w:t>
            </w:r>
          </w:p>
        </w:tc>
        <w:tc>
          <w:tcPr>
            <w:tcW w:w="2047"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每生每年1000元。全省平均资助面为在园幼儿人数的10%。</w:t>
            </w:r>
          </w:p>
        </w:tc>
        <w:tc>
          <w:tcPr>
            <w:tcW w:w="354" w:type="pct"/>
            <w:shd w:val="clear" w:color="auto" w:fill="auto"/>
            <w:noWrap/>
            <w:vAlign w:val="center"/>
          </w:tcPr>
          <w:p>
            <w:pPr>
              <w:widowControl/>
              <w:snapToGrid w:val="0"/>
              <w:spacing w:line="280" w:lineRule="exact"/>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155" w:type="pct"/>
            <w:vMerge w:val="continue"/>
            <w:vAlign w:val="center"/>
          </w:tcPr>
          <w:p>
            <w:pPr>
              <w:widowControl/>
              <w:snapToGrid w:val="0"/>
              <w:spacing w:line="280" w:lineRule="exact"/>
              <w:jc w:val="left"/>
              <w:rPr>
                <w:rFonts w:ascii="宋体" w:hAnsi="宋体" w:eastAsia="宋体" w:cs="宋体"/>
                <w:color w:val="000000"/>
                <w:kern w:val="0"/>
                <w:sz w:val="22"/>
              </w:rPr>
            </w:pPr>
          </w:p>
        </w:tc>
        <w:tc>
          <w:tcPr>
            <w:tcW w:w="348" w:type="pct"/>
            <w:vMerge w:val="continue"/>
            <w:vAlign w:val="center"/>
          </w:tcPr>
          <w:p>
            <w:pPr>
              <w:widowControl/>
              <w:snapToGrid w:val="0"/>
              <w:spacing w:line="280" w:lineRule="exact"/>
              <w:jc w:val="left"/>
              <w:rPr>
                <w:rFonts w:ascii="宋体" w:hAnsi="宋体" w:eastAsia="宋体" w:cs="宋体"/>
                <w:color w:val="000000"/>
                <w:kern w:val="0"/>
                <w:sz w:val="22"/>
              </w:rPr>
            </w:pPr>
          </w:p>
        </w:tc>
        <w:tc>
          <w:tcPr>
            <w:tcW w:w="528" w:type="pct"/>
            <w:shd w:val="clear" w:color="auto" w:fill="auto"/>
            <w:vAlign w:val="center"/>
          </w:tcPr>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脱贫地区农村义务教育学生营养膳食补助</w:t>
            </w:r>
          </w:p>
        </w:tc>
        <w:tc>
          <w:tcPr>
            <w:tcW w:w="692"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1.《农村义务教育学生营养改善计划实施办法》（教财〔2022〕2号）                       2.《湖南省中小学食堂管理办法》（湘教发〔2018〕30号）</w:t>
            </w:r>
          </w:p>
        </w:tc>
        <w:tc>
          <w:tcPr>
            <w:tcW w:w="876"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原集中连片特困地区县（不含县城）；原其他国贫县、原省贫县、民族县、边境县、革命老区</w:t>
            </w:r>
          </w:p>
        </w:tc>
        <w:tc>
          <w:tcPr>
            <w:tcW w:w="2047"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在原集中连片特困地区县（不含县城）实施国家学生营养改善计划；在原其他国贫县、原省贫县、民族县、边境县、革命老区实施地方学生营养改善计划，按每年实际就餐学生数和就餐次数，每生每次补助5元。营养改善计划“做加法、添营养”，按成本补偿原则，合理确定供餐价格，家长缴纳基本伙食费。</w:t>
            </w:r>
          </w:p>
        </w:tc>
        <w:tc>
          <w:tcPr>
            <w:tcW w:w="354" w:type="pct"/>
            <w:shd w:val="clear" w:color="auto" w:fill="auto"/>
            <w:noWrap/>
            <w:vAlign w:val="center"/>
          </w:tcPr>
          <w:p>
            <w:pPr>
              <w:widowControl/>
              <w:snapToGrid w:val="0"/>
              <w:spacing w:line="280" w:lineRule="exact"/>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0" w:hRule="atLeast"/>
        </w:trPr>
        <w:tc>
          <w:tcPr>
            <w:tcW w:w="155" w:type="pct"/>
            <w:shd w:val="clear" w:color="auto" w:fill="auto"/>
            <w:noWrap/>
            <w:vAlign w:val="center"/>
          </w:tcPr>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348" w:type="pct"/>
            <w:shd w:val="clear" w:color="auto" w:fill="auto"/>
            <w:vAlign w:val="center"/>
          </w:tcPr>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湖南省</w:t>
            </w:r>
          </w:p>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教育厅</w:t>
            </w:r>
          </w:p>
        </w:tc>
        <w:tc>
          <w:tcPr>
            <w:tcW w:w="528" w:type="pct"/>
            <w:shd w:val="clear" w:color="auto" w:fill="auto"/>
            <w:vAlign w:val="center"/>
          </w:tcPr>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高中教育、中职教育、高等教育阶段国家助学金</w:t>
            </w:r>
          </w:p>
        </w:tc>
        <w:tc>
          <w:tcPr>
            <w:tcW w:w="692"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1.《关于印发学生资助资金管理办法的通知》（财科教〔2021〕310号）                               2.《关于印发湖南省学生资助资金管理办法的通知》（湘财教〔2022〕13号）</w:t>
            </w:r>
          </w:p>
        </w:tc>
        <w:tc>
          <w:tcPr>
            <w:tcW w:w="876"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1.具有正式注册学籍的普通高中原建档立卡等家庭经济困难学生（含非建档立卡的家庭经济困难残疾学生、农村低保家庭学生、农村特困救助供养学生）。</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2.具有正式注册学籍的普通高中在校生中的家庭经济困难学生。</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3.中等职业学校具有全日制学历教育正式学籍的在校涉农专业学生和非涉农专业的家庭经济困难学生。</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4.全日制普通高校本专科生中家庭经济困难学生(含预科生,不含退役士兵学生）。</w:t>
            </w:r>
          </w:p>
        </w:tc>
        <w:tc>
          <w:tcPr>
            <w:tcW w:w="2047"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1.对具有正式注册学籍的普通高中原建档立卡等家庭经济困难学生（含非建档立卡的家庭经济困难残疾学生、农村低保家庭学生、农村特困救助供养学生）免学杂费。免学杂费标准按照各级人民政府及其价格、财政主管部门批准的公办学校学杂费标准执行（不含住宿费），省示范性高中每生每年免除 2000 元，非省示范性高中每生每年免除 1600 元。</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2.对具有正式注册学籍的普通高中在校生中的家庭经济困难学生，实行国家助学金制度，资助标准为每生每年平均 2000 元。</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 对中等职业学校具有全日制学历教育正式学籍的在校涉农专业学生和非涉农专业的家庭经济困难学生，实行国家助学金制度，每生每年平均 2000 元。</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4.全日制普通高校本专科生中家庭经济困难学生(含预科生,不含退役士兵学生）可以按规定享受国家助学金，具体标准由高校在每生每年 2000-4500 元范围内资助确定，可以分 2-3 档。</w:t>
            </w:r>
          </w:p>
        </w:tc>
        <w:tc>
          <w:tcPr>
            <w:tcW w:w="354" w:type="pct"/>
            <w:shd w:val="clear" w:color="auto" w:fill="auto"/>
            <w:noWrap/>
            <w:vAlign w:val="center"/>
          </w:tcPr>
          <w:p>
            <w:pPr>
              <w:widowControl/>
              <w:snapToGrid w:val="0"/>
              <w:spacing w:line="280" w:lineRule="exact"/>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155" w:type="pct"/>
            <w:shd w:val="clear" w:color="auto" w:fill="auto"/>
            <w:noWrap/>
            <w:vAlign w:val="center"/>
          </w:tcPr>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348" w:type="pct"/>
            <w:shd w:val="clear" w:color="auto" w:fill="auto"/>
            <w:vAlign w:val="center"/>
          </w:tcPr>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湖南省</w:t>
            </w:r>
          </w:p>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公安厅</w:t>
            </w:r>
          </w:p>
        </w:tc>
        <w:tc>
          <w:tcPr>
            <w:tcW w:w="528" w:type="pct"/>
            <w:shd w:val="clear" w:color="auto" w:fill="auto"/>
            <w:vAlign w:val="center"/>
          </w:tcPr>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农村居民办理身份证收费政策及标准</w:t>
            </w:r>
          </w:p>
        </w:tc>
        <w:tc>
          <w:tcPr>
            <w:tcW w:w="692"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《国家发展改革委、财政部关于居民身份证收费标准及有关问题的通知》（发改价格〔2003〕2322号）</w:t>
            </w:r>
          </w:p>
        </w:tc>
        <w:tc>
          <w:tcPr>
            <w:tcW w:w="876"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农村居民</w:t>
            </w:r>
          </w:p>
        </w:tc>
        <w:tc>
          <w:tcPr>
            <w:tcW w:w="2047"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首次办理第二代居民身份证、户口迁移证、准迁证、户口簿免费；身份证有效期满换证工本费20元/证（农村五保户、脱贫户、领取国家抚恤补助金的优抚对象和因自然灾害、事故、疾病等原因造成生活困难及其他生活确实有困难的居民，凭所在乡镇人民政府或街道办事处出具的有效证明可免费换证）；身份证损坏换领、丢失补领工本费40元/证；办理第二代临时居民身份证工本费10元/证；户口簿丢失、损坏补办工本费8元/证；户口迁移证、准迁证丢失损坏补办、过期失效重办工本费5元/证。</w:t>
            </w:r>
          </w:p>
        </w:tc>
        <w:tc>
          <w:tcPr>
            <w:tcW w:w="354" w:type="pct"/>
            <w:shd w:val="clear" w:color="auto" w:fill="auto"/>
            <w:vAlign w:val="center"/>
          </w:tcPr>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收费  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155" w:type="pct"/>
            <w:vMerge w:val="restart"/>
            <w:shd w:val="clear" w:color="auto" w:fill="auto"/>
            <w:noWrap/>
            <w:vAlign w:val="center"/>
          </w:tcPr>
          <w:p>
            <w:pPr>
              <w:widowControl/>
              <w:snapToGrid w:val="0"/>
              <w:spacing w:line="280" w:lineRule="exact"/>
              <w:jc w:val="center"/>
              <w:rPr>
                <w:rFonts w:hint="eastAsia" w:ascii="宋体" w:hAnsi="宋体" w:eastAsia="宋体" w:cs="宋体"/>
                <w:color w:val="000000"/>
                <w:kern w:val="0"/>
                <w:sz w:val="22"/>
              </w:rPr>
            </w:pPr>
          </w:p>
          <w:p>
            <w:pPr>
              <w:widowControl/>
              <w:snapToGrid w:val="0"/>
              <w:spacing w:line="280" w:lineRule="exact"/>
              <w:jc w:val="center"/>
              <w:rPr>
                <w:rFonts w:hint="eastAsia" w:ascii="宋体" w:hAnsi="宋体" w:eastAsia="宋体" w:cs="宋体"/>
                <w:color w:val="000000"/>
                <w:kern w:val="0"/>
                <w:sz w:val="22"/>
              </w:rPr>
            </w:pPr>
          </w:p>
          <w:p>
            <w:pPr>
              <w:widowControl/>
              <w:snapToGrid w:val="0"/>
              <w:spacing w:line="280" w:lineRule="exact"/>
              <w:jc w:val="center"/>
              <w:rPr>
                <w:rFonts w:hint="eastAsia" w:ascii="宋体" w:hAnsi="宋体" w:eastAsia="宋体" w:cs="宋体"/>
                <w:color w:val="000000"/>
                <w:kern w:val="0"/>
                <w:sz w:val="22"/>
              </w:rPr>
            </w:pPr>
          </w:p>
          <w:p>
            <w:pPr>
              <w:widowControl/>
              <w:snapToGrid w:val="0"/>
              <w:spacing w:line="280" w:lineRule="exact"/>
              <w:jc w:val="center"/>
              <w:rPr>
                <w:rFonts w:hint="eastAsia" w:ascii="宋体" w:hAnsi="宋体" w:eastAsia="宋体" w:cs="宋体"/>
                <w:color w:val="000000"/>
                <w:kern w:val="0"/>
                <w:sz w:val="22"/>
              </w:rPr>
            </w:pPr>
          </w:p>
          <w:p>
            <w:pPr>
              <w:widowControl/>
              <w:snapToGrid w:val="0"/>
              <w:spacing w:line="280" w:lineRule="exact"/>
              <w:jc w:val="center"/>
              <w:rPr>
                <w:rFonts w:hint="eastAsia" w:ascii="宋体" w:hAnsi="宋体" w:eastAsia="宋体" w:cs="宋体"/>
                <w:color w:val="000000"/>
                <w:kern w:val="0"/>
                <w:sz w:val="22"/>
              </w:rPr>
            </w:pPr>
          </w:p>
          <w:p>
            <w:pPr>
              <w:widowControl/>
              <w:snapToGrid w:val="0"/>
              <w:spacing w:line="280" w:lineRule="exact"/>
              <w:jc w:val="center"/>
              <w:rPr>
                <w:rFonts w:hint="eastAsia" w:ascii="宋体" w:hAnsi="宋体" w:eastAsia="宋体" w:cs="宋体"/>
                <w:color w:val="000000"/>
                <w:kern w:val="0"/>
                <w:sz w:val="22"/>
              </w:rPr>
            </w:pPr>
          </w:p>
          <w:p>
            <w:pPr>
              <w:widowControl/>
              <w:snapToGrid w:val="0"/>
              <w:spacing w:line="280" w:lineRule="exact"/>
              <w:jc w:val="center"/>
              <w:rPr>
                <w:rFonts w:hint="eastAsia" w:ascii="宋体" w:hAnsi="宋体" w:eastAsia="宋体" w:cs="宋体"/>
                <w:color w:val="000000"/>
                <w:kern w:val="0"/>
                <w:sz w:val="22"/>
              </w:rPr>
            </w:pPr>
          </w:p>
          <w:p>
            <w:pPr>
              <w:widowControl/>
              <w:snapToGrid w:val="0"/>
              <w:spacing w:line="280" w:lineRule="exact"/>
              <w:jc w:val="center"/>
              <w:rPr>
                <w:rFonts w:hint="eastAsia" w:ascii="宋体" w:hAnsi="宋体" w:eastAsia="宋体" w:cs="宋体"/>
                <w:color w:val="000000"/>
                <w:kern w:val="0"/>
                <w:sz w:val="22"/>
              </w:rPr>
            </w:pPr>
          </w:p>
          <w:p>
            <w:pPr>
              <w:widowControl/>
              <w:snapToGrid w:val="0"/>
              <w:spacing w:line="280" w:lineRule="exact"/>
              <w:jc w:val="center"/>
              <w:rPr>
                <w:rFonts w:hint="eastAsia" w:ascii="宋体" w:hAnsi="宋体" w:eastAsia="宋体" w:cs="宋体"/>
                <w:color w:val="000000"/>
                <w:kern w:val="0"/>
                <w:sz w:val="22"/>
              </w:rPr>
            </w:pPr>
          </w:p>
          <w:p>
            <w:pPr>
              <w:widowControl/>
              <w:snapToGrid w:val="0"/>
              <w:spacing w:line="280" w:lineRule="exact"/>
              <w:jc w:val="center"/>
              <w:rPr>
                <w:rFonts w:hint="eastAsia" w:ascii="宋体" w:hAnsi="宋体" w:eastAsia="宋体" w:cs="宋体"/>
                <w:color w:val="000000"/>
                <w:kern w:val="0"/>
                <w:sz w:val="22"/>
              </w:rPr>
            </w:pPr>
          </w:p>
          <w:p>
            <w:pPr>
              <w:widowControl/>
              <w:snapToGrid w:val="0"/>
              <w:spacing w:line="280" w:lineRule="exact"/>
              <w:jc w:val="center"/>
              <w:rPr>
                <w:rFonts w:hint="eastAsia" w:ascii="宋体" w:hAnsi="宋体" w:eastAsia="宋体" w:cs="宋体"/>
                <w:color w:val="000000"/>
                <w:kern w:val="0"/>
                <w:sz w:val="22"/>
              </w:rPr>
            </w:pPr>
          </w:p>
          <w:p>
            <w:pPr>
              <w:widowControl/>
              <w:snapToGrid w:val="0"/>
              <w:spacing w:line="28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4</w:t>
            </w:r>
          </w:p>
          <w:p>
            <w:pPr>
              <w:widowControl/>
              <w:snapToGrid w:val="0"/>
              <w:spacing w:line="280" w:lineRule="exact"/>
              <w:jc w:val="center"/>
              <w:rPr>
                <w:rFonts w:hint="eastAsia" w:ascii="宋体" w:hAnsi="宋体" w:eastAsia="宋体" w:cs="宋体"/>
                <w:color w:val="000000"/>
                <w:kern w:val="0"/>
                <w:sz w:val="22"/>
              </w:rPr>
            </w:pPr>
          </w:p>
          <w:p>
            <w:pPr>
              <w:widowControl/>
              <w:snapToGrid w:val="0"/>
              <w:spacing w:line="280" w:lineRule="exact"/>
              <w:jc w:val="center"/>
              <w:rPr>
                <w:rFonts w:hint="eastAsia" w:ascii="宋体" w:hAnsi="宋体" w:eastAsia="宋体" w:cs="宋体"/>
                <w:color w:val="000000"/>
                <w:kern w:val="0"/>
                <w:sz w:val="22"/>
              </w:rPr>
            </w:pPr>
          </w:p>
          <w:p>
            <w:pPr>
              <w:widowControl/>
              <w:snapToGrid w:val="0"/>
              <w:spacing w:line="280" w:lineRule="exact"/>
              <w:jc w:val="center"/>
              <w:rPr>
                <w:rFonts w:hint="eastAsia" w:ascii="宋体" w:hAnsi="宋体" w:eastAsia="宋体" w:cs="宋体"/>
                <w:color w:val="000000"/>
                <w:kern w:val="0"/>
                <w:sz w:val="22"/>
              </w:rPr>
            </w:pPr>
          </w:p>
          <w:p>
            <w:pPr>
              <w:widowControl/>
              <w:snapToGrid w:val="0"/>
              <w:spacing w:line="280" w:lineRule="exact"/>
              <w:jc w:val="center"/>
              <w:rPr>
                <w:rFonts w:hint="eastAsia" w:ascii="宋体" w:hAnsi="宋体" w:eastAsia="宋体" w:cs="宋体"/>
                <w:color w:val="000000"/>
                <w:kern w:val="0"/>
                <w:sz w:val="22"/>
              </w:rPr>
            </w:pPr>
          </w:p>
          <w:p>
            <w:pPr>
              <w:widowControl/>
              <w:snapToGrid w:val="0"/>
              <w:spacing w:line="280" w:lineRule="exact"/>
              <w:jc w:val="center"/>
              <w:rPr>
                <w:rFonts w:hint="eastAsia" w:ascii="宋体" w:hAnsi="宋体" w:eastAsia="宋体" w:cs="宋体"/>
                <w:color w:val="000000"/>
                <w:kern w:val="0"/>
                <w:sz w:val="22"/>
              </w:rPr>
            </w:pPr>
          </w:p>
          <w:p>
            <w:pPr>
              <w:widowControl/>
              <w:snapToGrid w:val="0"/>
              <w:spacing w:line="280" w:lineRule="exact"/>
              <w:jc w:val="center"/>
              <w:rPr>
                <w:rFonts w:hint="eastAsia" w:ascii="宋体" w:hAnsi="宋体" w:eastAsia="宋体" w:cs="宋体"/>
                <w:color w:val="000000"/>
                <w:kern w:val="0"/>
                <w:sz w:val="22"/>
              </w:rPr>
            </w:pPr>
          </w:p>
          <w:p>
            <w:pPr>
              <w:widowControl/>
              <w:snapToGrid w:val="0"/>
              <w:spacing w:line="280" w:lineRule="exact"/>
              <w:jc w:val="center"/>
              <w:rPr>
                <w:rFonts w:hint="eastAsia" w:ascii="宋体" w:hAnsi="宋体" w:eastAsia="宋体" w:cs="宋体"/>
                <w:color w:val="000000"/>
                <w:kern w:val="0"/>
                <w:sz w:val="22"/>
              </w:rPr>
            </w:pPr>
          </w:p>
          <w:p>
            <w:pPr>
              <w:widowControl/>
              <w:snapToGrid w:val="0"/>
              <w:spacing w:line="280" w:lineRule="exact"/>
              <w:jc w:val="center"/>
              <w:rPr>
                <w:rFonts w:hint="eastAsia" w:ascii="宋体" w:hAnsi="宋体" w:eastAsia="宋体" w:cs="宋体"/>
                <w:color w:val="000000"/>
                <w:kern w:val="0"/>
                <w:sz w:val="22"/>
              </w:rPr>
            </w:pPr>
          </w:p>
          <w:p>
            <w:pPr>
              <w:widowControl/>
              <w:snapToGrid w:val="0"/>
              <w:spacing w:line="280" w:lineRule="exact"/>
              <w:jc w:val="center"/>
              <w:rPr>
                <w:rFonts w:hint="eastAsia" w:ascii="宋体" w:hAnsi="宋体" w:eastAsia="宋体" w:cs="宋体"/>
                <w:color w:val="000000"/>
                <w:kern w:val="0"/>
                <w:sz w:val="22"/>
              </w:rPr>
            </w:pPr>
          </w:p>
          <w:p>
            <w:pPr>
              <w:widowControl/>
              <w:snapToGrid w:val="0"/>
              <w:spacing w:line="280" w:lineRule="exact"/>
              <w:jc w:val="center"/>
              <w:rPr>
                <w:rFonts w:hint="eastAsia" w:ascii="宋体" w:hAnsi="宋体" w:eastAsia="宋体" w:cs="宋体"/>
                <w:color w:val="000000"/>
                <w:kern w:val="0"/>
                <w:sz w:val="22"/>
              </w:rPr>
            </w:pPr>
          </w:p>
          <w:p>
            <w:pPr>
              <w:widowControl/>
              <w:snapToGrid w:val="0"/>
              <w:spacing w:line="280" w:lineRule="exact"/>
              <w:jc w:val="center"/>
              <w:rPr>
                <w:rFonts w:hint="eastAsia" w:ascii="宋体" w:hAnsi="宋体" w:eastAsia="宋体" w:cs="宋体"/>
                <w:color w:val="000000"/>
                <w:kern w:val="0"/>
                <w:sz w:val="22"/>
              </w:rPr>
            </w:pPr>
          </w:p>
          <w:p>
            <w:pPr>
              <w:widowControl/>
              <w:snapToGrid w:val="0"/>
              <w:spacing w:line="280" w:lineRule="exact"/>
              <w:jc w:val="center"/>
              <w:rPr>
                <w:rFonts w:hint="eastAsia" w:ascii="宋体" w:hAnsi="宋体" w:eastAsia="宋体" w:cs="宋体"/>
                <w:color w:val="000000"/>
                <w:kern w:val="0"/>
                <w:sz w:val="22"/>
              </w:rPr>
            </w:pPr>
          </w:p>
          <w:p>
            <w:pPr>
              <w:widowControl/>
              <w:snapToGrid w:val="0"/>
              <w:spacing w:line="280" w:lineRule="exact"/>
              <w:jc w:val="center"/>
              <w:rPr>
                <w:rFonts w:hint="eastAsia" w:ascii="宋体" w:hAnsi="宋体" w:eastAsia="宋体" w:cs="宋体"/>
                <w:color w:val="000000"/>
                <w:kern w:val="0"/>
                <w:sz w:val="22"/>
              </w:rPr>
            </w:pPr>
          </w:p>
          <w:p>
            <w:pPr>
              <w:widowControl/>
              <w:snapToGrid w:val="0"/>
              <w:spacing w:line="280" w:lineRule="exact"/>
              <w:jc w:val="center"/>
              <w:rPr>
                <w:rFonts w:hint="eastAsia" w:ascii="宋体" w:hAnsi="宋体" w:eastAsia="宋体" w:cs="宋体"/>
                <w:color w:val="000000"/>
                <w:kern w:val="0"/>
                <w:sz w:val="22"/>
              </w:rPr>
            </w:pPr>
          </w:p>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348" w:type="pct"/>
            <w:vMerge w:val="restart"/>
            <w:shd w:val="clear" w:color="auto" w:fill="auto"/>
            <w:vAlign w:val="center"/>
          </w:tcPr>
          <w:p>
            <w:pPr>
              <w:widowControl/>
              <w:snapToGrid w:val="0"/>
              <w:spacing w:line="280" w:lineRule="exact"/>
              <w:jc w:val="center"/>
              <w:rPr>
                <w:rFonts w:hint="eastAsia" w:ascii="宋体" w:hAnsi="宋体" w:eastAsia="宋体" w:cs="宋体"/>
                <w:color w:val="000000"/>
                <w:kern w:val="0"/>
                <w:sz w:val="22"/>
              </w:rPr>
            </w:pPr>
          </w:p>
          <w:p>
            <w:pPr>
              <w:widowControl/>
              <w:snapToGrid w:val="0"/>
              <w:spacing w:line="280" w:lineRule="exact"/>
              <w:jc w:val="center"/>
              <w:rPr>
                <w:rFonts w:hint="eastAsia" w:ascii="宋体" w:hAnsi="宋体" w:eastAsia="宋体" w:cs="宋体"/>
                <w:color w:val="000000"/>
                <w:kern w:val="0"/>
                <w:sz w:val="22"/>
              </w:rPr>
            </w:pPr>
          </w:p>
          <w:p>
            <w:pPr>
              <w:widowControl/>
              <w:snapToGrid w:val="0"/>
              <w:spacing w:line="280" w:lineRule="exact"/>
              <w:jc w:val="center"/>
              <w:rPr>
                <w:rFonts w:hint="eastAsia" w:ascii="宋体" w:hAnsi="宋体" w:eastAsia="宋体" w:cs="宋体"/>
                <w:color w:val="000000"/>
                <w:kern w:val="0"/>
                <w:sz w:val="22"/>
              </w:rPr>
            </w:pPr>
          </w:p>
          <w:p>
            <w:pPr>
              <w:widowControl/>
              <w:snapToGrid w:val="0"/>
              <w:spacing w:line="280" w:lineRule="exact"/>
              <w:jc w:val="center"/>
              <w:rPr>
                <w:rFonts w:hint="eastAsia" w:ascii="宋体" w:hAnsi="宋体" w:eastAsia="宋体" w:cs="宋体"/>
                <w:color w:val="000000"/>
                <w:kern w:val="0"/>
                <w:sz w:val="22"/>
              </w:rPr>
            </w:pPr>
          </w:p>
          <w:p>
            <w:pPr>
              <w:widowControl/>
              <w:snapToGrid w:val="0"/>
              <w:spacing w:line="280" w:lineRule="exact"/>
              <w:jc w:val="center"/>
              <w:rPr>
                <w:rFonts w:hint="eastAsia" w:ascii="宋体" w:hAnsi="宋体" w:eastAsia="宋体" w:cs="宋体"/>
                <w:color w:val="000000"/>
                <w:kern w:val="0"/>
                <w:sz w:val="22"/>
              </w:rPr>
            </w:pPr>
          </w:p>
          <w:p>
            <w:pPr>
              <w:widowControl/>
              <w:snapToGrid w:val="0"/>
              <w:spacing w:line="280" w:lineRule="exact"/>
              <w:jc w:val="center"/>
              <w:rPr>
                <w:rFonts w:hint="eastAsia" w:ascii="宋体" w:hAnsi="宋体" w:eastAsia="宋体" w:cs="宋体"/>
                <w:color w:val="000000"/>
                <w:kern w:val="0"/>
                <w:sz w:val="22"/>
              </w:rPr>
            </w:pPr>
          </w:p>
          <w:p>
            <w:pPr>
              <w:widowControl/>
              <w:snapToGrid w:val="0"/>
              <w:spacing w:line="280" w:lineRule="exact"/>
              <w:jc w:val="center"/>
              <w:rPr>
                <w:rFonts w:hint="eastAsia" w:ascii="宋体" w:hAnsi="宋体" w:eastAsia="宋体" w:cs="宋体"/>
                <w:color w:val="000000"/>
                <w:kern w:val="0"/>
                <w:sz w:val="22"/>
              </w:rPr>
            </w:pPr>
          </w:p>
          <w:p>
            <w:pPr>
              <w:widowControl/>
              <w:snapToGrid w:val="0"/>
              <w:spacing w:line="280" w:lineRule="exact"/>
              <w:jc w:val="center"/>
              <w:rPr>
                <w:rFonts w:hint="eastAsia" w:ascii="宋体" w:hAnsi="宋体" w:eastAsia="宋体" w:cs="宋体"/>
                <w:color w:val="000000"/>
                <w:kern w:val="0"/>
                <w:sz w:val="22"/>
              </w:rPr>
            </w:pPr>
          </w:p>
          <w:p>
            <w:pPr>
              <w:widowControl/>
              <w:snapToGrid w:val="0"/>
              <w:spacing w:line="280" w:lineRule="exact"/>
              <w:jc w:val="center"/>
              <w:rPr>
                <w:rFonts w:hint="eastAsia" w:ascii="宋体" w:hAnsi="宋体" w:eastAsia="宋体" w:cs="宋体"/>
                <w:color w:val="000000"/>
                <w:kern w:val="0"/>
                <w:sz w:val="22"/>
              </w:rPr>
            </w:pPr>
          </w:p>
          <w:p>
            <w:pPr>
              <w:widowControl/>
              <w:snapToGrid w:val="0"/>
              <w:spacing w:line="280" w:lineRule="exact"/>
              <w:jc w:val="center"/>
              <w:rPr>
                <w:rFonts w:hint="eastAsia" w:ascii="宋体" w:hAnsi="宋体" w:eastAsia="宋体" w:cs="宋体"/>
                <w:color w:val="000000"/>
                <w:kern w:val="0"/>
                <w:sz w:val="22"/>
              </w:rPr>
            </w:pPr>
          </w:p>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湖南省</w:t>
            </w:r>
          </w:p>
          <w:p>
            <w:pPr>
              <w:widowControl/>
              <w:snapToGrid w:val="0"/>
              <w:spacing w:line="28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民政厅</w:t>
            </w:r>
          </w:p>
          <w:p>
            <w:pPr>
              <w:widowControl/>
              <w:snapToGrid w:val="0"/>
              <w:spacing w:line="280" w:lineRule="exact"/>
              <w:jc w:val="center"/>
              <w:rPr>
                <w:rFonts w:hint="eastAsia" w:ascii="宋体" w:hAnsi="宋体" w:eastAsia="宋体" w:cs="宋体"/>
                <w:color w:val="000000"/>
                <w:kern w:val="0"/>
                <w:sz w:val="22"/>
              </w:rPr>
            </w:pPr>
          </w:p>
          <w:p>
            <w:pPr>
              <w:widowControl/>
              <w:snapToGrid w:val="0"/>
              <w:spacing w:line="280" w:lineRule="exact"/>
              <w:jc w:val="center"/>
              <w:rPr>
                <w:rFonts w:hint="eastAsia" w:ascii="宋体" w:hAnsi="宋体" w:eastAsia="宋体" w:cs="宋体"/>
                <w:color w:val="000000"/>
                <w:kern w:val="0"/>
                <w:sz w:val="22"/>
              </w:rPr>
            </w:pPr>
          </w:p>
          <w:p>
            <w:pPr>
              <w:widowControl/>
              <w:snapToGrid w:val="0"/>
              <w:spacing w:line="280" w:lineRule="exact"/>
              <w:jc w:val="center"/>
              <w:rPr>
                <w:rFonts w:hint="eastAsia" w:ascii="宋体" w:hAnsi="宋体" w:eastAsia="宋体" w:cs="宋体"/>
                <w:color w:val="000000"/>
                <w:kern w:val="0"/>
                <w:sz w:val="22"/>
              </w:rPr>
            </w:pPr>
          </w:p>
          <w:p>
            <w:pPr>
              <w:widowControl/>
              <w:snapToGrid w:val="0"/>
              <w:spacing w:line="280" w:lineRule="exact"/>
              <w:jc w:val="center"/>
              <w:rPr>
                <w:rFonts w:hint="eastAsia" w:ascii="宋体" w:hAnsi="宋体" w:eastAsia="宋体" w:cs="宋体"/>
                <w:color w:val="000000"/>
                <w:kern w:val="0"/>
                <w:sz w:val="22"/>
              </w:rPr>
            </w:pPr>
          </w:p>
          <w:p>
            <w:pPr>
              <w:widowControl/>
              <w:snapToGrid w:val="0"/>
              <w:spacing w:line="280" w:lineRule="exact"/>
              <w:jc w:val="center"/>
              <w:rPr>
                <w:rFonts w:hint="eastAsia" w:ascii="宋体" w:hAnsi="宋体" w:eastAsia="宋体" w:cs="宋体"/>
                <w:color w:val="000000"/>
                <w:kern w:val="0"/>
                <w:sz w:val="22"/>
              </w:rPr>
            </w:pPr>
          </w:p>
          <w:p>
            <w:pPr>
              <w:widowControl/>
              <w:snapToGrid w:val="0"/>
              <w:spacing w:line="280" w:lineRule="exact"/>
              <w:jc w:val="center"/>
              <w:rPr>
                <w:rFonts w:hint="eastAsia" w:ascii="宋体" w:hAnsi="宋体" w:eastAsia="宋体" w:cs="宋体"/>
                <w:color w:val="000000"/>
                <w:kern w:val="0"/>
                <w:sz w:val="22"/>
              </w:rPr>
            </w:pPr>
          </w:p>
          <w:p>
            <w:pPr>
              <w:widowControl/>
              <w:snapToGrid w:val="0"/>
              <w:spacing w:line="280" w:lineRule="exact"/>
              <w:jc w:val="center"/>
              <w:rPr>
                <w:rFonts w:hint="eastAsia" w:ascii="宋体" w:hAnsi="宋体" w:eastAsia="宋体" w:cs="宋体"/>
                <w:color w:val="000000"/>
                <w:kern w:val="0"/>
                <w:sz w:val="22"/>
              </w:rPr>
            </w:pPr>
          </w:p>
          <w:p>
            <w:pPr>
              <w:widowControl/>
              <w:snapToGrid w:val="0"/>
              <w:spacing w:line="280" w:lineRule="exact"/>
              <w:jc w:val="center"/>
              <w:rPr>
                <w:rFonts w:hint="eastAsia" w:ascii="宋体" w:hAnsi="宋体" w:eastAsia="宋体" w:cs="宋体"/>
                <w:color w:val="000000"/>
                <w:kern w:val="0"/>
                <w:sz w:val="22"/>
              </w:rPr>
            </w:pPr>
          </w:p>
          <w:p>
            <w:pPr>
              <w:widowControl/>
              <w:snapToGrid w:val="0"/>
              <w:spacing w:line="280" w:lineRule="exact"/>
              <w:jc w:val="center"/>
              <w:rPr>
                <w:rFonts w:hint="eastAsia" w:ascii="宋体" w:hAnsi="宋体" w:eastAsia="宋体" w:cs="宋体"/>
                <w:color w:val="000000"/>
                <w:kern w:val="0"/>
                <w:sz w:val="22"/>
              </w:rPr>
            </w:pPr>
          </w:p>
          <w:p>
            <w:pPr>
              <w:widowControl/>
              <w:snapToGrid w:val="0"/>
              <w:spacing w:line="280" w:lineRule="exact"/>
              <w:jc w:val="center"/>
              <w:rPr>
                <w:rFonts w:hint="eastAsia" w:ascii="宋体" w:hAnsi="宋体" w:eastAsia="宋体" w:cs="宋体"/>
                <w:color w:val="000000"/>
                <w:kern w:val="0"/>
                <w:sz w:val="22"/>
              </w:rPr>
            </w:pPr>
          </w:p>
          <w:p>
            <w:pPr>
              <w:widowControl/>
              <w:snapToGrid w:val="0"/>
              <w:spacing w:line="280" w:lineRule="exact"/>
              <w:jc w:val="center"/>
              <w:rPr>
                <w:rFonts w:hint="eastAsia" w:ascii="宋体" w:hAnsi="宋体" w:eastAsia="宋体" w:cs="宋体"/>
                <w:color w:val="000000"/>
                <w:kern w:val="0"/>
                <w:sz w:val="22"/>
              </w:rPr>
            </w:pPr>
          </w:p>
          <w:p>
            <w:pPr>
              <w:widowControl/>
              <w:snapToGrid w:val="0"/>
              <w:spacing w:line="280" w:lineRule="exact"/>
              <w:jc w:val="center"/>
              <w:rPr>
                <w:rFonts w:hint="eastAsia" w:ascii="宋体" w:hAnsi="宋体" w:eastAsia="宋体" w:cs="宋体"/>
                <w:color w:val="000000"/>
                <w:kern w:val="0"/>
                <w:sz w:val="22"/>
              </w:rPr>
            </w:pPr>
          </w:p>
          <w:p>
            <w:pPr>
              <w:widowControl/>
              <w:snapToGrid w:val="0"/>
              <w:spacing w:line="280" w:lineRule="exact"/>
              <w:jc w:val="center"/>
              <w:rPr>
                <w:rFonts w:hint="eastAsia" w:ascii="宋体" w:hAnsi="宋体" w:eastAsia="宋体" w:cs="宋体"/>
                <w:color w:val="000000"/>
                <w:kern w:val="0"/>
                <w:sz w:val="22"/>
              </w:rPr>
            </w:pPr>
          </w:p>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湖南省</w:t>
            </w:r>
          </w:p>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民政厅</w:t>
            </w:r>
          </w:p>
        </w:tc>
        <w:tc>
          <w:tcPr>
            <w:tcW w:w="528" w:type="pct"/>
            <w:shd w:val="clear" w:color="auto" w:fill="auto"/>
            <w:vAlign w:val="center"/>
          </w:tcPr>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农村居民最低生活保障指导标准</w:t>
            </w:r>
          </w:p>
        </w:tc>
        <w:tc>
          <w:tcPr>
            <w:tcW w:w="692"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《湖南省民政厅湖南省财政厅关于调整困难群众救助保障相关标准的通知》（湘民发〔2024〕12号）</w:t>
            </w:r>
          </w:p>
        </w:tc>
        <w:tc>
          <w:tcPr>
            <w:tcW w:w="876"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共同生活的家庭成员人均收入低于当地最低生活保障标准,且符合当地最低生活保障家庭财产状况规定的家庭。</w:t>
            </w:r>
          </w:p>
        </w:tc>
        <w:tc>
          <w:tcPr>
            <w:tcW w:w="2047"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每年经省政府同意后，由省财政厅、省民政厅公布最低指导标准，具体低保标准由各市州在不低于省级最低指导标准前提下自行确定。对于实行补差救助的县市区，低保金=低保标准-收入；对于实行分档救助的县市区，低保金根据当地县级人民政府救助档次规定及对象收入情况确定。2024年，农村最低生活保障省级指导标准为5400元/年。</w:t>
            </w:r>
          </w:p>
        </w:tc>
        <w:tc>
          <w:tcPr>
            <w:tcW w:w="354" w:type="pct"/>
            <w:shd w:val="clear" w:color="auto" w:fill="auto"/>
            <w:noWrap/>
            <w:vAlign w:val="center"/>
          </w:tcPr>
          <w:p>
            <w:pPr>
              <w:widowControl/>
              <w:snapToGrid w:val="0"/>
              <w:spacing w:line="280" w:lineRule="exact"/>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155" w:type="pct"/>
            <w:vMerge w:val="continue"/>
            <w:vAlign w:val="center"/>
          </w:tcPr>
          <w:p>
            <w:pPr>
              <w:widowControl/>
              <w:snapToGrid w:val="0"/>
              <w:spacing w:line="280" w:lineRule="exact"/>
              <w:jc w:val="left"/>
              <w:rPr>
                <w:rFonts w:ascii="宋体" w:hAnsi="宋体" w:eastAsia="宋体" w:cs="宋体"/>
                <w:color w:val="000000"/>
                <w:kern w:val="0"/>
                <w:sz w:val="22"/>
              </w:rPr>
            </w:pPr>
          </w:p>
        </w:tc>
        <w:tc>
          <w:tcPr>
            <w:tcW w:w="348" w:type="pct"/>
            <w:vMerge w:val="continue"/>
            <w:vAlign w:val="center"/>
          </w:tcPr>
          <w:p>
            <w:pPr>
              <w:widowControl/>
              <w:snapToGrid w:val="0"/>
              <w:spacing w:line="280" w:lineRule="exact"/>
              <w:jc w:val="left"/>
              <w:rPr>
                <w:rFonts w:ascii="宋体" w:hAnsi="宋体" w:eastAsia="宋体" w:cs="宋体"/>
                <w:color w:val="000000"/>
                <w:kern w:val="0"/>
                <w:sz w:val="22"/>
              </w:rPr>
            </w:pPr>
          </w:p>
        </w:tc>
        <w:tc>
          <w:tcPr>
            <w:tcW w:w="528" w:type="pct"/>
            <w:shd w:val="clear" w:color="auto" w:fill="auto"/>
            <w:vAlign w:val="center"/>
          </w:tcPr>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农村特困人员救助供养标准</w:t>
            </w:r>
          </w:p>
        </w:tc>
        <w:tc>
          <w:tcPr>
            <w:tcW w:w="692"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《湖南省民政厅湖南省财政厅关于调整困难群众救助保障相关标准的通知》（湘民发〔2024〕12号）</w:t>
            </w:r>
          </w:p>
        </w:tc>
        <w:tc>
          <w:tcPr>
            <w:tcW w:w="876"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无劳动能力、无生活来源且无法定赡养、抚养、扶养义务人，或者其法定赡养、抚养、扶养义务人无赡养、抚养、扶养能力的老年人、残疾人以及未满16周岁的未成年人。</w:t>
            </w:r>
          </w:p>
        </w:tc>
        <w:tc>
          <w:tcPr>
            <w:tcW w:w="2047"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2024年，农村特困人员基本生活省级指导标准为7020元/年，照料护理标准分全自理、半护理、全护理三</w:t>
            </w:r>
            <w:r>
              <w:rPr>
                <w:rFonts w:hint="eastAsia" w:ascii="宋体" w:hAnsi="宋体" w:eastAsia="宋体" w:cs="宋体"/>
                <w:color w:val="000000"/>
                <w:kern w:val="0"/>
                <w:sz w:val="22"/>
                <w:lang w:eastAsia="zh-CN"/>
              </w:rPr>
              <w:t>档</w:t>
            </w:r>
            <w:r>
              <w:rPr>
                <w:rFonts w:hint="eastAsia" w:ascii="宋体" w:hAnsi="宋体" w:eastAsia="宋体" w:cs="宋体"/>
                <w:color w:val="000000"/>
                <w:kern w:val="0"/>
                <w:sz w:val="22"/>
              </w:rPr>
              <w:t>，分别按不低于当地上年度最低工资标准的十分之一、六分之一、三分之一测算安排照料护理费。县级民政部门统筹管理使用照料护理费。</w:t>
            </w:r>
          </w:p>
        </w:tc>
        <w:tc>
          <w:tcPr>
            <w:tcW w:w="354" w:type="pct"/>
            <w:shd w:val="clear" w:color="auto" w:fill="auto"/>
            <w:noWrap/>
            <w:vAlign w:val="center"/>
          </w:tcPr>
          <w:p>
            <w:pPr>
              <w:widowControl/>
              <w:snapToGrid w:val="0"/>
              <w:spacing w:line="280" w:lineRule="exact"/>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55" w:type="pct"/>
            <w:vMerge w:val="continue"/>
            <w:vAlign w:val="center"/>
          </w:tcPr>
          <w:p>
            <w:pPr>
              <w:widowControl/>
              <w:snapToGrid w:val="0"/>
              <w:spacing w:line="280" w:lineRule="exact"/>
              <w:jc w:val="left"/>
              <w:rPr>
                <w:rFonts w:ascii="宋体" w:hAnsi="宋体" w:eastAsia="宋体" w:cs="宋体"/>
                <w:color w:val="000000"/>
                <w:kern w:val="0"/>
                <w:sz w:val="22"/>
              </w:rPr>
            </w:pPr>
          </w:p>
        </w:tc>
        <w:tc>
          <w:tcPr>
            <w:tcW w:w="348" w:type="pct"/>
            <w:vMerge w:val="continue"/>
            <w:vAlign w:val="center"/>
          </w:tcPr>
          <w:p>
            <w:pPr>
              <w:widowControl/>
              <w:snapToGrid w:val="0"/>
              <w:spacing w:line="280" w:lineRule="exact"/>
              <w:jc w:val="left"/>
              <w:rPr>
                <w:rFonts w:ascii="宋体" w:hAnsi="宋体" w:eastAsia="宋体" w:cs="宋体"/>
                <w:color w:val="000000"/>
                <w:kern w:val="0"/>
                <w:sz w:val="22"/>
              </w:rPr>
            </w:pPr>
          </w:p>
        </w:tc>
        <w:tc>
          <w:tcPr>
            <w:tcW w:w="528" w:type="pct"/>
            <w:shd w:val="clear" w:color="auto" w:fill="auto"/>
            <w:vAlign w:val="center"/>
          </w:tcPr>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农村孤儿基本生活补助标准</w:t>
            </w:r>
          </w:p>
        </w:tc>
        <w:tc>
          <w:tcPr>
            <w:tcW w:w="692"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《湖南省民政厅湖南省财政厅关于调整困难群众救助保障相关标准的通知》（湘民发〔2024〕12号）</w:t>
            </w:r>
          </w:p>
        </w:tc>
        <w:tc>
          <w:tcPr>
            <w:tcW w:w="876"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农村孤儿</w:t>
            </w:r>
          </w:p>
        </w:tc>
        <w:tc>
          <w:tcPr>
            <w:tcW w:w="2047"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2024年起，社会散居孤儿基本生活费最低保障标准提高到1150元/月,集中供养孤儿基本生活费最低保障标准提高到1600元/月。</w:t>
            </w:r>
          </w:p>
        </w:tc>
        <w:tc>
          <w:tcPr>
            <w:tcW w:w="354" w:type="pct"/>
            <w:shd w:val="clear" w:color="auto" w:fill="auto"/>
            <w:noWrap/>
            <w:vAlign w:val="center"/>
          </w:tcPr>
          <w:p>
            <w:pPr>
              <w:widowControl/>
              <w:snapToGrid w:val="0"/>
              <w:spacing w:line="280" w:lineRule="exact"/>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155" w:type="pct"/>
            <w:vMerge w:val="continue"/>
            <w:shd w:val="clear" w:color="auto" w:fill="auto"/>
            <w:noWrap/>
            <w:vAlign w:val="center"/>
          </w:tcPr>
          <w:p>
            <w:pPr>
              <w:widowControl/>
              <w:snapToGrid w:val="0"/>
              <w:spacing w:line="280" w:lineRule="exact"/>
              <w:jc w:val="center"/>
              <w:rPr>
                <w:rFonts w:ascii="宋体" w:hAnsi="宋体" w:eastAsia="宋体" w:cs="宋体"/>
                <w:color w:val="000000"/>
                <w:kern w:val="0"/>
                <w:sz w:val="22"/>
              </w:rPr>
            </w:pPr>
          </w:p>
        </w:tc>
        <w:tc>
          <w:tcPr>
            <w:tcW w:w="348" w:type="pct"/>
            <w:vMerge w:val="continue"/>
            <w:shd w:val="clear" w:color="auto" w:fill="auto"/>
            <w:vAlign w:val="center"/>
          </w:tcPr>
          <w:p>
            <w:pPr>
              <w:widowControl/>
              <w:snapToGrid w:val="0"/>
              <w:spacing w:line="280" w:lineRule="exact"/>
              <w:jc w:val="center"/>
              <w:rPr>
                <w:rFonts w:ascii="宋体" w:hAnsi="宋体" w:eastAsia="宋体" w:cs="宋体"/>
                <w:color w:val="000000"/>
                <w:kern w:val="0"/>
                <w:sz w:val="22"/>
              </w:rPr>
            </w:pPr>
          </w:p>
        </w:tc>
        <w:tc>
          <w:tcPr>
            <w:tcW w:w="528" w:type="pct"/>
            <w:shd w:val="clear" w:color="auto" w:fill="auto"/>
            <w:vAlign w:val="center"/>
          </w:tcPr>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残疾人补贴</w:t>
            </w:r>
          </w:p>
        </w:tc>
        <w:tc>
          <w:tcPr>
            <w:tcW w:w="692"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《湖南省民政厅湖南省财政厅湖南省残疾人联合会关于调整残疾人“两项补贴”标准的通知》（湘民发〔2024〕8号）</w:t>
            </w:r>
          </w:p>
        </w:tc>
        <w:tc>
          <w:tcPr>
            <w:tcW w:w="876"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 xml:space="preserve">1.重度残疾人护理补贴对象为残疾等级被评定为一级、二级的重度残疾人。                        </w:t>
            </w:r>
          </w:p>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2.困难残疾人生活补贴对象为低保家庭中的残疾人，有条件的地方可逐步扩大到低收入残疾人及其他困难残疾人。</w:t>
            </w:r>
          </w:p>
        </w:tc>
        <w:tc>
          <w:tcPr>
            <w:tcW w:w="2047"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2024年，困难残疾人生活补贴、重度残疾人护理补贴省级指导标准提高到每人每月90元，其中，2023年标准高于省级指导标准的地区，2024年不低于2023年当地标准。</w:t>
            </w:r>
          </w:p>
        </w:tc>
        <w:tc>
          <w:tcPr>
            <w:tcW w:w="354" w:type="pct"/>
            <w:shd w:val="clear" w:color="auto" w:fill="auto"/>
            <w:noWrap/>
            <w:vAlign w:val="center"/>
          </w:tcPr>
          <w:p>
            <w:pPr>
              <w:widowControl/>
              <w:snapToGrid w:val="0"/>
              <w:spacing w:line="280" w:lineRule="exact"/>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155" w:type="pct"/>
            <w:vMerge w:val="continue"/>
            <w:vAlign w:val="center"/>
          </w:tcPr>
          <w:p>
            <w:pPr>
              <w:widowControl/>
              <w:snapToGrid w:val="0"/>
              <w:spacing w:line="280" w:lineRule="exact"/>
              <w:jc w:val="left"/>
              <w:rPr>
                <w:rFonts w:ascii="宋体" w:hAnsi="宋体" w:eastAsia="宋体" w:cs="宋体"/>
                <w:color w:val="000000"/>
                <w:kern w:val="0"/>
                <w:sz w:val="22"/>
              </w:rPr>
            </w:pPr>
          </w:p>
        </w:tc>
        <w:tc>
          <w:tcPr>
            <w:tcW w:w="348" w:type="pct"/>
            <w:vMerge w:val="continue"/>
            <w:vAlign w:val="center"/>
          </w:tcPr>
          <w:p>
            <w:pPr>
              <w:widowControl/>
              <w:snapToGrid w:val="0"/>
              <w:spacing w:line="280" w:lineRule="exact"/>
              <w:jc w:val="left"/>
              <w:rPr>
                <w:rFonts w:ascii="宋体" w:hAnsi="宋体" w:eastAsia="宋体" w:cs="宋体"/>
                <w:color w:val="000000"/>
                <w:kern w:val="0"/>
                <w:sz w:val="22"/>
              </w:rPr>
            </w:pPr>
          </w:p>
        </w:tc>
        <w:tc>
          <w:tcPr>
            <w:tcW w:w="528" w:type="pct"/>
            <w:shd w:val="clear" w:color="auto" w:fill="auto"/>
            <w:vAlign w:val="center"/>
          </w:tcPr>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办理结婚证、离婚证收费政策</w:t>
            </w:r>
          </w:p>
        </w:tc>
        <w:tc>
          <w:tcPr>
            <w:tcW w:w="692"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《财政部 国家发展改革委关于清理规范一批行政事业性收费有关政策的通知》（财税</w:t>
            </w:r>
            <w:r>
              <w:rPr>
                <w:rFonts w:ascii="黑体" w:hAnsi="黑体" w:eastAsia="黑体" w:cs="宋体"/>
                <w:color w:val="000000"/>
                <w:kern w:val="0"/>
                <w:sz w:val="22"/>
              </w:rPr>
              <w:t>〔</w:t>
            </w:r>
            <w:r>
              <w:rPr>
                <w:rFonts w:hint="eastAsia" w:ascii="宋体" w:hAnsi="宋体" w:eastAsia="宋体" w:cs="宋体"/>
                <w:color w:val="000000"/>
                <w:kern w:val="0"/>
                <w:sz w:val="22"/>
              </w:rPr>
              <w:t>2017</w:t>
            </w:r>
            <w:r>
              <w:rPr>
                <w:rFonts w:ascii="黑体" w:hAnsi="黑体" w:eastAsia="黑体" w:cs="宋体"/>
                <w:color w:val="000000"/>
                <w:kern w:val="0"/>
                <w:sz w:val="22"/>
              </w:rPr>
              <w:t>〕</w:t>
            </w:r>
            <w:r>
              <w:rPr>
                <w:rFonts w:hint="eastAsia" w:ascii="宋体" w:hAnsi="宋体" w:eastAsia="宋体" w:cs="宋体"/>
                <w:color w:val="000000"/>
                <w:kern w:val="0"/>
                <w:sz w:val="22"/>
              </w:rPr>
              <w:t>20号 ）</w:t>
            </w:r>
          </w:p>
        </w:tc>
        <w:tc>
          <w:tcPr>
            <w:tcW w:w="876"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婚姻登记对象</w:t>
            </w:r>
          </w:p>
        </w:tc>
        <w:tc>
          <w:tcPr>
            <w:tcW w:w="2047"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办理结婚证或离婚证不得收取工本费。</w:t>
            </w:r>
          </w:p>
        </w:tc>
        <w:tc>
          <w:tcPr>
            <w:tcW w:w="354" w:type="pct"/>
            <w:shd w:val="clear" w:color="auto" w:fill="auto"/>
            <w:vAlign w:val="center"/>
          </w:tcPr>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收费 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0" w:hRule="atLeast"/>
        </w:trPr>
        <w:tc>
          <w:tcPr>
            <w:tcW w:w="155" w:type="pct"/>
            <w:vMerge w:val="restart"/>
            <w:shd w:val="clear" w:color="auto" w:fill="auto"/>
            <w:noWrap/>
            <w:vAlign w:val="center"/>
          </w:tcPr>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348" w:type="pct"/>
            <w:vMerge w:val="restart"/>
            <w:shd w:val="clear" w:color="auto" w:fill="auto"/>
            <w:vAlign w:val="center"/>
          </w:tcPr>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湖南省</w:t>
            </w:r>
          </w:p>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财政厅</w:t>
            </w:r>
          </w:p>
        </w:tc>
        <w:tc>
          <w:tcPr>
            <w:tcW w:w="528" w:type="pct"/>
            <w:shd w:val="clear" w:color="auto" w:fill="auto"/>
            <w:vAlign w:val="center"/>
          </w:tcPr>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农业保险政策及险种、标准</w:t>
            </w:r>
          </w:p>
        </w:tc>
        <w:tc>
          <w:tcPr>
            <w:tcW w:w="692"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《湖南省财政厅关于印发&lt;湖南省农业保险财政奖补管理办法&gt;的通知》(湘财金</w:t>
            </w:r>
            <w:r>
              <w:rPr>
                <w:rFonts w:ascii="黑体" w:hAnsi="黑体" w:eastAsia="黑体" w:cs="宋体"/>
                <w:color w:val="000000"/>
                <w:kern w:val="0"/>
                <w:sz w:val="22"/>
              </w:rPr>
              <w:t>〔</w:t>
            </w:r>
            <w:r>
              <w:rPr>
                <w:rFonts w:ascii="宋体" w:hAnsi="宋体" w:eastAsia="宋体" w:cs="宋体"/>
                <w:color w:val="000000"/>
                <w:kern w:val="0"/>
                <w:sz w:val="22"/>
              </w:rPr>
              <w:t>2023</w:t>
            </w:r>
            <w:r>
              <w:rPr>
                <w:rFonts w:ascii="黑体" w:hAnsi="黑体" w:eastAsia="黑体" w:cs="宋体"/>
                <w:color w:val="000000"/>
                <w:kern w:val="0"/>
                <w:sz w:val="22"/>
              </w:rPr>
              <w:t>〕</w:t>
            </w:r>
            <w:r>
              <w:rPr>
                <w:rFonts w:ascii="宋体" w:hAnsi="宋体" w:eastAsia="宋体" w:cs="宋体"/>
                <w:color w:val="000000"/>
                <w:kern w:val="0"/>
                <w:sz w:val="22"/>
              </w:rPr>
              <w:t>60号）</w:t>
            </w:r>
          </w:p>
        </w:tc>
        <w:tc>
          <w:tcPr>
            <w:tcW w:w="876"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除生猪保险＋期货、烟叶保险限定特定实施地区外，其余险种在全省开展，相关种养殖农户均可投保</w:t>
            </w:r>
          </w:p>
        </w:tc>
        <w:tc>
          <w:tcPr>
            <w:tcW w:w="2047"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1、水稻保险：全省保险费率4%，在全省实施水稻完全成本保险全覆盖，适度规模经营户每亩保险金额1100元，中小农户每亩保险金额900元。</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2、水稻制种保险：每亩保险金额1500元，保险费率10%。                                                                                3、棉花保险：每亩苗期保险金额300元，保险费率8%。                                                                             4、玉米保险：每亩保险金额300元，保险费率6%。</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5、油菜保险：每亩苗期保险金额300元，保险费率3%。                                                                                  6、能繁母猪保险：每头保险金额1500元，保险费率6%。                                                                          7、奶牛保险：每头保险金额4000元，保险费率5%。</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8、育肥猪保险：每头保险金额800元，保险费率5%。</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9、公益林保险：每亩保险金额600元，保险费率2‰。</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10、商品林保险：每亩保险金额1000元，保险费率2‰。                                                                              11、大豆保险：每亩保险金额200元，保险费率6%。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12、烟叶保险：每亩保险金额1400元，每亩保费97.5元。                                                                       13、巨灾保险：包括巨灾人身、巨灾农房、巨灾农业，巨灾人身由省财政全额负担，巨灾农房、巨灾种植、巨灾养殖省和市县财政各分担50%。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14、省级创新试点品种：包括生猪价格指数、生猪饲料成本两类，在生猪调出大县自愿试点，所需保费省、县财政各补贴20%，其中省级补贴每个县100万元封顶。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15、市场化奖补品种农业保险：自2023年起开展市场化改革试点，对柑橘、茶叶、油茶、蔬菜、淡水鱼、小龙虾、湘九味中药材、肉鸡、肉鸭、能繁母牛等千亿产业重点品种、中央财政补贴品种的补充型保险、省农业农村厅发布的“一县一特”农产品优秀品牌品种、经国家金监部门备案的首创农业保险品种等品种给予分类降费补贴；对纳入奖补范围内的品种还给予超赔补偿、绩效奖补等补贴。</w:t>
            </w:r>
          </w:p>
        </w:tc>
        <w:tc>
          <w:tcPr>
            <w:tcW w:w="354" w:type="pct"/>
            <w:shd w:val="clear" w:color="auto" w:fill="auto"/>
            <w:noWrap/>
            <w:vAlign w:val="center"/>
          </w:tcPr>
          <w:p>
            <w:pPr>
              <w:widowControl/>
              <w:snapToGrid w:val="0"/>
              <w:spacing w:line="280" w:lineRule="exact"/>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6" w:hRule="atLeast"/>
        </w:trPr>
        <w:tc>
          <w:tcPr>
            <w:tcW w:w="155" w:type="pct"/>
            <w:vMerge w:val="continue"/>
            <w:vAlign w:val="center"/>
          </w:tcPr>
          <w:p>
            <w:pPr>
              <w:widowControl/>
              <w:snapToGrid w:val="0"/>
              <w:spacing w:line="280" w:lineRule="exact"/>
              <w:jc w:val="left"/>
              <w:rPr>
                <w:rFonts w:ascii="宋体" w:hAnsi="宋体" w:eastAsia="宋体" w:cs="宋体"/>
                <w:color w:val="000000"/>
                <w:kern w:val="0"/>
                <w:sz w:val="22"/>
              </w:rPr>
            </w:pPr>
          </w:p>
        </w:tc>
        <w:tc>
          <w:tcPr>
            <w:tcW w:w="348" w:type="pct"/>
            <w:vMerge w:val="continue"/>
            <w:vAlign w:val="center"/>
          </w:tcPr>
          <w:p>
            <w:pPr>
              <w:widowControl/>
              <w:snapToGrid w:val="0"/>
              <w:spacing w:line="280" w:lineRule="exact"/>
              <w:jc w:val="left"/>
              <w:rPr>
                <w:rFonts w:ascii="宋体" w:hAnsi="宋体" w:eastAsia="宋体" w:cs="宋体"/>
                <w:color w:val="000000"/>
                <w:kern w:val="0"/>
                <w:sz w:val="22"/>
              </w:rPr>
            </w:pPr>
          </w:p>
        </w:tc>
        <w:tc>
          <w:tcPr>
            <w:tcW w:w="528" w:type="pct"/>
            <w:shd w:val="clear" w:color="auto" w:fill="auto"/>
            <w:vAlign w:val="center"/>
          </w:tcPr>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对村级公益事业建设补助</w:t>
            </w:r>
          </w:p>
        </w:tc>
        <w:tc>
          <w:tcPr>
            <w:tcW w:w="692" w:type="pct"/>
            <w:shd w:val="clear" w:color="auto" w:fill="auto"/>
            <w:vAlign w:val="center"/>
          </w:tcPr>
          <w:p>
            <w:pPr>
              <w:widowControl/>
              <w:snapToGrid w:val="0"/>
              <w:spacing w:line="280" w:lineRule="exact"/>
              <w:rPr>
                <w:rFonts w:ascii="宋体" w:hAnsi="宋体" w:eastAsia="宋体" w:cs="宋体"/>
                <w:color w:val="000000"/>
                <w:kern w:val="0"/>
                <w:sz w:val="22"/>
              </w:rPr>
            </w:pPr>
            <w:r>
              <w:rPr>
                <w:rFonts w:hint="eastAsia" w:ascii="宋体" w:hAnsi="宋体" w:eastAsia="宋体" w:cs="宋体"/>
                <w:color w:val="000000"/>
                <w:kern w:val="0"/>
                <w:sz w:val="22"/>
              </w:rPr>
              <w:t>财政部《关于印发农村综合改革转移支付资金管理办法的通知》(财农〔2023〕81号）</w:t>
            </w:r>
          </w:p>
        </w:tc>
        <w:tc>
          <w:tcPr>
            <w:tcW w:w="876"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村内兴办小型农田水利基本建设、修建和养护村组道路桥梁（含机耕道、林区村森林防火通道等）、巩固安全饮水工程、植树造林、开展农村人居环境整治，以及村民认为需要兴办的集体生产生活等其他公益事业项目。</w:t>
            </w:r>
          </w:p>
        </w:tc>
        <w:tc>
          <w:tcPr>
            <w:tcW w:w="2047"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市县按村或项目规模大小一般可给予5-20万元的补助。</w:t>
            </w:r>
          </w:p>
        </w:tc>
        <w:tc>
          <w:tcPr>
            <w:tcW w:w="354" w:type="pct"/>
            <w:shd w:val="clear" w:color="auto" w:fill="auto"/>
            <w:noWrap/>
            <w:vAlign w:val="center"/>
          </w:tcPr>
          <w:p>
            <w:pPr>
              <w:widowControl/>
              <w:snapToGrid w:val="0"/>
              <w:spacing w:line="280" w:lineRule="exact"/>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0" w:hRule="atLeast"/>
        </w:trPr>
        <w:tc>
          <w:tcPr>
            <w:tcW w:w="155" w:type="pct"/>
            <w:shd w:val="clear" w:color="auto" w:fill="auto"/>
            <w:noWrap/>
            <w:vAlign w:val="center"/>
          </w:tcPr>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348" w:type="pct"/>
            <w:shd w:val="clear" w:color="auto" w:fill="auto"/>
            <w:vAlign w:val="center"/>
          </w:tcPr>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湖南省自然资源厅</w:t>
            </w:r>
          </w:p>
        </w:tc>
        <w:tc>
          <w:tcPr>
            <w:tcW w:w="528" w:type="pct"/>
            <w:shd w:val="clear" w:color="auto" w:fill="auto"/>
            <w:vAlign w:val="center"/>
          </w:tcPr>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农户申请办理不动产登记的收费政策及标准</w:t>
            </w:r>
          </w:p>
        </w:tc>
        <w:tc>
          <w:tcPr>
            <w:tcW w:w="692"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1.《湖南省发展和改革委员会 湖南省财政厅关于转发〈国家发展改革委 财政部关于不动产登记收费标准等有关问题的通知〉的通知》(湘发改价费〔2017〕264号)                               2.《湖南省发展和改革委员会 湖南省财政厅关于发布湖南省自然资源系统行政事业性收费标准的通知》（湘发改价费〔2019〕597号）</w:t>
            </w:r>
          </w:p>
        </w:tc>
        <w:tc>
          <w:tcPr>
            <w:tcW w:w="876"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不动产权利人</w:t>
            </w:r>
          </w:p>
        </w:tc>
        <w:tc>
          <w:tcPr>
            <w:tcW w:w="2047"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一、下列情形免收不动产登记费（含第一本不动产权属证书工本费）：</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（1）易地扶贫搬迁项目办理不动产登记的；</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（2）办理森林、林木所有权及其占用林地的承包经营权或者使用权，以及相关抵押、地役权不动产权利登记的；</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（3）办理耕地、草地、水域、滩涂等土地承包经营权，以及相关抵押、地役权不动产权利登记的。</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二、下列情形只收取不动产权属证书工本费，每本10元：</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（1）单独申请宅基地使用权登记的。</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（2）申请宅基地使用权及地上房屋所有权登记的。</w:t>
            </w:r>
          </w:p>
        </w:tc>
        <w:tc>
          <w:tcPr>
            <w:tcW w:w="354" w:type="pct"/>
            <w:shd w:val="clear" w:color="auto" w:fill="auto"/>
            <w:vAlign w:val="center"/>
          </w:tcPr>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收费 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155" w:type="pct"/>
            <w:vMerge w:val="restart"/>
            <w:shd w:val="clear" w:color="auto" w:fill="auto"/>
            <w:noWrap/>
            <w:vAlign w:val="center"/>
          </w:tcPr>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348" w:type="pct"/>
            <w:vMerge w:val="restart"/>
            <w:shd w:val="clear" w:color="auto" w:fill="auto"/>
            <w:vAlign w:val="center"/>
          </w:tcPr>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湖南省人力资源和社会保障厅</w:t>
            </w:r>
          </w:p>
        </w:tc>
        <w:tc>
          <w:tcPr>
            <w:tcW w:w="528" w:type="pct"/>
            <w:shd w:val="clear" w:color="auto" w:fill="auto"/>
            <w:vAlign w:val="center"/>
          </w:tcPr>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农民工就业培训补助</w:t>
            </w:r>
          </w:p>
        </w:tc>
        <w:tc>
          <w:tcPr>
            <w:tcW w:w="692"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《湖南省职业技能培训补贴标准目录》</w:t>
            </w:r>
          </w:p>
        </w:tc>
        <w:tc>
          <w:tcPr>
            <w:tcW w:w="876"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在法定年龄内，且有就业能力和培训需求的农村转移就业劳动者</w:t>
            </w:r>
          </w:p>
        </w:tc>
        <w:tc>
          <w:tcPr>
            <w:tcW w:w="2047"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按照《湖南省职业技能培训补贴标准目录》标准享受培训补贴。</w:t>
            </w:r>
          </w:p>
        </w:tc>
        <w:tc>
          <w:tcPr>
            <w:tcW w:w="354" w:type="pct"/>
            <w:shd w:val="clear" w:color="auto" w:fill="auto"/>
            <w:noWrap/>
            <w:vAlign w:val="center"/>
          </w:tcPr>
          <w:p>
            <w:pPr>
              <w:widowControl/>
              <w:snapToGrid w:val="0"/>
              <w:spacing w:line="280" w:lineRule="exact"/>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155" w:type="pct"/>
            <w:vMerge w:val="continue"/>
            <w:vAlign w:val="center"/>
          </w:tcPr>
          <w:p>
            <w:pPr>
              <w:widowControl/>
              <w:snapToGrid w:val="0"/>
              <w:spacing w:line="280" w:lineRule="exact"/>
              <w:jc w:val="left"/>
              <w:rPr>
                <w:rFonts w:ascii="宋体" w:hAnsi="宋体" w:eastAsia="宋体" w:cs="宋体"/>
                <w:color w:val="000000"/>
                <w:kern w:val="0"/>
                <w:sz w:val="22"/>
              </w:rPr>
            </w:pPr>
          </w:p>
        </w:tc>
        <w:tc>
          <w:tcPr>
            <w:tcW w:w="348" w:type="pct"/>
            <w:vMerge w:val="continue"/>
            <w:vAlign w:val="center"/>
          </w:tcPr>
          <w:p>
            <w:pPr>
              <w:widowControl/>
              <w:snapToGrid w:val="0"/>
              <w:spacing w:line="280" w:lineRule="exact"/>
              <w:jc w:val="left"/>
              <w:rPr>
                <w:rFonts w:ascii="宋体" w:hAnsi="宋体" w:eastAsia="宋体" w:cs="宋体"/>
                <w:color w:val="000000"/>
                <w:kern w:val="0"/>
                <w:sz w:val="22"/>
              </w:rPr>
            </w:pPr>
          </w:p>
        </w:tc>
        <w:tc>
          <w:tcPr>
            <w:tcW w:w="528" w:type="pct"/>
            <w:shd w:val="clear" w:color="auto" w:fill="auto"/>
            <w:vAlign w:val="center"/>
          </w:tcPr>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城乡居民基础养老金标准</w:t>
            </w:r>
          </w:p>
        </w:tc>
        <w:tc>
          <w:tcPr>
            <w:tcW w:w="692" w:type="pct"/>
            <w:shd w:val="clear" w:color="auto" w:fill="auto"/>
            <w:vAlign w:val="center"/>
          </w:tcPr>
          <w:p>
            <w:pPr>
              <w:widowControl/>
              <w:snapToGrid w:val="0"/>
              <w:spacing w:line="280" w:lineRule="exact"/>
              <w:rPr>
                <w:rFonts w:ascii="宋体" w:hAnsi="宋体" w:eastAsia="宋体" w:cs="宋体"/>
                <w:color w:val="000000"/>
                <w:kern w:val="0"/>
                <w:sz w:val="22"/>
              </w:rPr>
            </w:pPr>
            <w:r>
              <w:rPr>
                <w:rFonts w:hint="eastAsia" w:ascii="宋体" w:hAnsi="宋体" w:eastAsia="宋体" w:cs="宋体"/>
                <w:color w:val="000000"/>
                <w:kern w:val="0"/>
                <w:sz w:val="22"/>
              </w:rPr>
              <w:t xml:space="preserve">《湖南省人民政府关于完善城乡居民基本养老保险制度的实施意见》（湘政发〔2020〕19号) </w:t>
            </w:r>
          </w:p>
        </w:tc>
        <w:tc>
          <w:tcPr>
            <w:tcW w:w="876"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参加城乡居民养老保险的个人，年满60周岁、累计缴费满15年，且未领取国家规定的基本养老保障待遇的。</w:t>
            </w:r>
          </w:p>
        </w:tc>
        <w:tc>
          <w:tcPr>
            <w:tcW w:w="2047"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2024年全省城乡居民养老保险基础养老金最低标准为每人每月131元。</w:t>
            </w:r>
          </w:p>
        </w:tc>
        <w:tc>
          <w:tcPr>
            <w:tcW w:w="354" w:type="pct"/>
            <w:shd w:val="clear" w:color="auto" w:fill="auto"/>
            <w:noWrap/>
            <w:vAlign w:val="center"/>
          </w:tcPr>
          <w:p>
            <w:pPr>
              <w:widowControl/>
              <w:snapToGrid w:val="0"/>
              <w:spacing w:line="280" w:lineRule="exact"/>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155" w:type="pct"/>
            <w:shd w:val="clear" w:color="auto" w:fill="auto"/>
            <w:noWrap/>
            <w:vAlign w:val="center"/>
          </w:tcPr>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348" w:type="pct"/>
            <w:shd w:val="clear" w:color="auto" w:fill="auto"/>
            <w:vAlign w:val="center"/>
          </w:tcPr>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湖南省医疗保障局</w:t>
            </w:r>
          </w:p>
        </w:tc>
        <w:tc>
          <w:tcPr>
            <w:tcW w:w="528" w:type="pct"/>
            <w:shd w:val="clear" w:color="auto" w:fill="auto"/>
            <w:vAlign w:val="center"/>
          </w:tcPr>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城乡居民基本医疗保险个人缴费标准</w:t>
            </w:r>
          </w:p>
        </w:tc>
        <w:tc>
          <w:tcPr>
            <w:tcW w:w="692"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《关于做好2024年度城乡居民基本医疗保险参保缴费工作的通知》（湘医保发〔2023〕41号）</w:t>
            </w:r>
          </w:p>
        </w:tc>
        <w:tc>
          <w:tcPr>
            <w:tcW w:w="876"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除职工基本医疗保险应参保人员以及按国家规定享有其他保障的人员以外的其他所有城乡居民</w:t>
            </w:r>
          </w:p>
        </w:tc>
        <w:tc>
          <w:tcPr>
            <w:tcW w:w="2047"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2024年度城乡居民医保筹资标准1050元/人，其中财政补助670元/人，个人缴费标准380元/人。对特困供养人员参加居民医保的个人缴费部分给予全额资助（重度残疾人、孤儿、事实无人抚养儿童参照执行），对低保对象、监测对象、最低生活保障边缘家庭成员给予50%的资助。</w:t>
            </w:r>
          </w:p>
        </w:tc>
        <w:tc>
          <w:tcPr>
            <w:tcW w:w="354" w:type="pct"/>
            <w:shd w:val="clear" w:color="auto" w:fill="auto"/>
            <w:noWrap/>
            <w:vAlign w:val="center"/>
          </w:tcPr>
          <w:p>
            <w:pPr>
              <w:widowControl/>
              <w:snapToGrid w:val="0"/>
              <w:spacing w:line="280" w:lineRule="exact"/>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155" w:type="pct"/>
            <w:shd w:val="clear" w:color="auto" w:fill="auto"/>
            <w:noWrap/>
            <w:vAlign w:val="center"/>
          </w:tcPr>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348" w:type="pct"/>
            <w:shd w:val="clear" w:color="auto" w:fill="auto"/>
            <w:vAlign w:val="center"/>
          </w:tcPr>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湖南省住房和城乡建设厅</w:t>
            </w:r>
          </w:p>
        </w:tc>
        <w:tc>
          <w:tcPr>
            <w:tcW w:w="528" w:type="pct"/>
            <w:shd w:val="clear" w:color="auto" w:fill="auto"/>
            <w:vAlign w:val="center"/>
          </w:tcPr>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农村危房改造</w:t>
            </w:r>
          </w:p>
        </w:tc>
        <w:tc>
          <w:tcPr>
            <w:tcW w:w="692"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《湖南省住房和城乡建设厅等4部门关于做好农村低收入群体等重点对象住房安全保障工作的通知》（湘建村</w:t>
            </w:r>
            <w:r>
              <w:rPr>
                <w:rFonts w:ascii="黑体" w:hAnsi="黑体" w:eastAsia="黑体" w:cs="宋体"/>
                <w:color w:val="000000"/>
                <w:kern w:val="0"/>
                <w:sz w:val="22"/>
              </w:rPr>
              <w:t>〔</w:t>
            </w:r>
            <w:r>
              <w:rPr>
                <w:rFonts w:ascii="宋体" w:hAnsi="宋体" w:eastAsia="宋体" w:cs="宋体"/>
                <w:color w:val="000000"/>
                <w:kern w:val="0"/>
                <w:sz w:val="22"/>
              </w:rPr>
              <w:t>2021</w:t>
            </w:r>
            <w:r>
              <w:rPr>
                <w:rFonts w:ascii="黑体" w:hAnsi="黑体" w:eastAsia="黑体" w:cs="宋体"/>
                <w:color w:val="000000"/>
                <w:kern w:val="0"/>
                <w:sz w:val="22"/>
              </w:rPr>
              <w:t>〕</w:t>
            </w:r>
            <w:r>
              <w:rPr>
                <w:rFonts w:ascii="宋体" w:hAnsi="宋体" w:eastAsia="宋体" w:cs="宋体"/>
                <w:color w:val="000000"/>
                <w:kern w:val="0"/>
                <w:sz w:val="22"/>
              </w:rPr>
              <w:t>113号</w:t>
            </w:r>
          </w:p>
        </w:tc>
        <w:tc>
          <w:tcPr>
            <w:tcW w:w="876"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农村低保户、农村分散供养特困人员、农村低保边缘家庭、易返贫致贫户、因病因灾因意外事故等刚性支出较大或收入大幅缩减导致基本生活出现严重困难的家庭以及符合条件的其他脱贫户。</w:t>
            </w:r>
          </w:p>
        </w:tc>
        <w:tc>
          <w:tcPr>
            <w:tcW w:w="2047"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各市州、县市区根据当地经济发展水平和财力，依据农村危房改造方式、建设标准、成本需求和补助对象自筹资金能力等不同情况，合理确定不同类型、不同档次的补助标准。</w:t>
            </w:r>
          </w:p>
        </w:tc>
        <w:tc>
          <w:tcPr>
            <w:tcW w:w="354" w:type="pct"/>
            <w:shd w:val="clear" w:color="auto" w:fill="auto"/>
            <w:noWrap/>
            <w:vAlign w:val="center"/>
          </w:tcPr>
          <w:p>
            <w:pPr>
              <w:widowControl/>
              <w:snapToGrid w:val="0"/>
              <w:spacing w:line="280" w:lineRule="exact"/>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155" w:type="pct"/>
            <w:vMerge w:val="restart"/>
            <w:shd w:val="clear" w:color="auto" w:fill="auto"/>
            <w:noWrap/>
            <w:vAlign w:val="center"/>
          </w:tcPr>
          <w:p>
            <w:pPr>
              <w:widowControl/>
              <w:snapToGrid w:val="0"/>
              <w:spacing w:line="280" w:lineRule="exact"/>
              <w:jc w:val="center"/>
              <w:rPr>
                <w:rFonts w:hint="eastAsia" w:ascii="宋体" w:hAnsi="宋体" w:eastAsia="宋体" w:cs="宋体"/>
                <w:color w:val="000000"/>
                <w:kern w:val="0"/>
                <w:sz w:val="22"/>
              </w:rPr>
            </w:pPr>
          </w:p>
          <w:p>
            <w:pPr>
              <w:widowControl/>
              <w:snapToGrid w:val="0"/>
              <w:spacing w:line="280" w:lineRule="exact"/>
              <w:jc w:val="center"/>
              <w:rPr>
                <w:rFonts w:hint="eastAsia" w:ascii="宋体" w:hAnsi="宋体" w:eastAsia="宋体" w:cs="宋体"/>
                <w:color w:val="000000"/>
                <w:kern w:val="0"/>
                <w:sz w:val="22"/>
              </w:rPr>
            </w:pPr>
          </w:p>
          <w:p>
            <w:pPr>
              <w:widowControl/>
              <w:snapToGrid w:val="0"/>
              <w:spacing w:line="28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10</w:t>
            </w:r>
          </w:p>
          <w:p>
            <w:pPr>
              <w:widowControl/>
              <w:snapToGrid w:val="0"/>
              <w:spacing w:line="280" w:lineRule="exact"/>
              <w:jc w:val="center"/>
              <w:rPr>
                <w:rFonts w:hint="eastAsia" w:ascii="宋体" w:hAnsi="宋体" w:eastAsia="宋体" w:cs="宋体"/>
                <w:color w:val="000000"/>
                <w:kern w:val="0"/>
                <w:sz w:val="22"/>
              </w:rPr>
            </w:pPr>
          </w:p>
          <w:p>
            <w:pPr>
              <w:widowControl/>
              <w:snapToGrid w:val="0"/>
              <w:spacing w:line="280" w:lineRule="exact"/>
              <w:jc w:val="center"/>
              <w:rPr>
                <w:rFonts w:hint="eastAsia" w:ascii="宋体" w:hAnsi="宋体" w:eastAsia="宋体" w:cs="宋体"/>
                <w:color w:val="000000"/>
                <w:kern w:val="0"/>
                <w:sz w:val="22"/>
              </w:rPr>
            </w:pPr>
          </w:p>
          <w:p>
            <w:pPr>
              <w:widowControl/>
              <w:snapToGrid w:val="0"/>
              <w:spacing w:line="280" w:lineRule="exact"/>
              <w:jc w:val="center"/>
              <w:rPr>
                <w:rFonts w:hint="eastAsia" w:ascii="宋体" w:hAnsi="宋体" w:eastAsia="宋体" w:cs="宋体"/>
                <w:color w:val="000000"/>
                <w:kern w:val="0"/>
                <w:sz w:val="22"/>
              </w:rPr>
            </w:pPr>
          </w:p>
          <w:p>
            <w:pPr>
              <w:widowControl/>
              <w:snapToGrid w:val="0"/>
              <w:spacing w:line="280" w:lineRule="exact"/>
              <w:jc w:val="center"/>
              <w:rPr>
                <w:rFonts w:hint="eastAsia" w:ascii="宋体" w:hAnsi="宋体" w:eastAsia="宋体" w:cs="宋体"/>
                <w:color w:val="000000"/>
                <w:kern w:val="0"/>
                <w:sz w:val="22"/>
              </w:rPr>
            </w:pPr>
          </w:p>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348" w:type="pct"/>
            <w:vMerge w:val="restart"/>
            <w:shd w:val="clear" w:color="auto" w:fill="auto"/>
            <w:vAlign w:val="center"/>
          </w:tcPr>
          <w:p>
            <w:pPr>
              <w:widowControl/>
              <w:snapToGrid w:val="0"/>
              <w:spacing w:line="280" w:lineRule="exact"/>
              <w:jc w:val="center"/>
              <w:rPr>
                <w:rFonts w:hint="eastAsia" w:ascii="宋体" w:hAnsi="宋体" w:eastAsia="宋体" w:cs="宋体"/>
                <w:color w:val="000000"/>
                <w:kern w:val="0"/>
                <w:sz w:val="22"/>
              </w:rPr>
            </w:pPr>
          </w:p>
          <w:p>
            <w:pPr>
              <w:widowControl/>
              <w:snapToGrid w:val="0"/>
              <w:spacing w:line="280" w:lineRule="exact"/>
              <w:jc w:val="center"/>
              <w:rPr>
                <w:rFonts w:hint="eastAsia" w:ascii="宋体" w:hAnsi="宋体" w:eastAsia="宋体" w:cs="宋体"/>
                <w:color w:val="000000"/>
                <w:kern w:val="0"/>
                <w:sz w:val="22"/>
              </w:rPr>
            </w:pPr>
          </w:p>
          <w:p>
            <w:pPr>
              <w:widowControl/>
              <w:snapToGrid w:val="0"/>
              <w:spacing w:line="28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湖南省</w:t>
            </w:r>
          </w:p>
          <w:p>
            <w:pPr>
              <w:widowControl/>
              <w:snapToGrid w:val="0"/>
              <w:spacing w:line="28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水利厅</w:t>
            </w:r>
          </w:p>
          <w:p>
            <w:pPr>
              <w:widowControl/>
              <w:snapToGrid w:val="0"/>
              <w:spacing w:line="280" w:lineRule="exact"/>
              <w:jc w:val="center"/>
              <w:rPr>
                <w:rFonts w:hint="eastAsia" w:ascii="宋体" w:hAnsi="宋体" w:eastAsia="宋体" w:cs="宋体"/>
                <w:color w:val="000000"/>
                <w:kern w:val="0"/>
                <w:sz w:val="22"/>
              </w:rPr>
            </w:pPr>
          </w:p>
          <w:p>
            <w:pPr>
              <w:widowControl/>
              <w:snapToGrid w:val="0"/>
              <w:spacing w:line="280" w:lineRule="exact"/>
              <w:jc w:val="center"/>
              <w:rPr>
                <w:rFonts w:hint="eastAsia" w:ascii="宋体" w:hAnsi="宋体" w:eastAsia="宋体" w:cs="宋体"/>
                <w:color w:val="000000"/>
                <w:kern w:val="0"/>
                <w:sz w:val="22"/>
              </w:rPr>
            </w:pPr>
          </w:p>
          <w:p>
            <w:pPr>
              <w:widowControl/>
              <w:snapToGrid w:val="0"/>
              <w:spacing w:line="280" w:lineRule="exact"/>
              <w:jc w:val="center"/>
              <w:rPr>
                <w:rFonts w:hint="eastAsia" w:ascii="宋体" w:hAnsi="宋体" w:eastAsia="宋体" w:cs="宋体"/>
                <w:color w:val="000000"/>
                <w:kern w:val="0"/>
                <w:sz w:val="22"/>
              </w:rPr>
            </w:pPr>
          </w:p>
          <w:p>
            <w:pPr>
              <w:widowControl/>
              <w:snapToGrid w:val="0"/>
              <w:spacing w:line="28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湖南</w:t>
            </w:r>
          </w:p>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省水利厅</w:t>
            </w:r>
          </w:p>
        </w:tc>
        <w:tc>
          <w:tcPr>
            <w:tcW w:w="528" w:type="pct"/>
            <w:shd w:val="clear" w:color="auto" w:fill="auto"/>
            <w:vAlign w:val="center"/>
          </w:tcPr>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大中型水库移民后期扶持基金</w:t>
            </w:r>
          </w:p>
        </w:tc>
        <w:tc>
          <w:tcPr>
            <w:tcW w:w="692"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《国务院关于完善大中型水库移民后期扶持政策的意见》（国发</w:t>
            </w:r>
            <w:r>
              <w:rPr>
                <w:rFonts w:ascii="黑体" w:hAnsi="黑体" w:eastAsia="黑体" w:cs="宋体"/>
                <w:color w:val="000000"/>
                <w:kern w:val="0"/>
                <w:sz w:val="22"/>
              </w:rPr>
              <w:t>〔</w:t>
            </w:r>
            <w:r>
              <w:rPr>
                <w:rFonts w:ascii="宋体" w:hAnsi="宋体" w:eastAsia="宋体" w:cs="宋体"/>
                <w:color w:val="000000"/>
                <w:kern w:val="0"/>
                <w:sz w:val="22"/>
              </w:rPr>
              <w:t>2006</w:t>
            </w:r>
            <w:r>
              <w:rPr>
                <w:rFonts w:ascii="黑体" w:hAnsi="黑体" w:eastAsia="黑体" w:cs="宋体"/>
                <w:color w:val="000000"/>
                <w:kern w:val="0"/>
                <w:sz w:val="22"/>
              </w:rPr>
              <w:t>〕</w:t>
            </w:r>
            <w:r>
              <w:rPr>
                <w:rFonts w:ascii="宋体" w:hAnsi="宋体" w:eastAsia="宋体" w:cs="宋体"/>
                <w:color w:val="000000"/>
                <w:kern w:val="0"/>
                <w:sz w:val="22"/>
              </w:rPr>
              <w:t>17号）</w:t>
            </w:r>
          </w:p>
        </w:tc>
        <w:tc>
          <w:tcPr>
            <w:tcW w:w="876"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纳入扶持范围的大中型水库农村移民</w:t>
            </w:r>
          </w:p>
        </w:tc>
        <w:tc>
          <w:tcPr>
            <w:tcW w:w="2047"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对纳入扶持范围的大中型水库农村移民每人每年补助600元；可以采取直补到人、项目扶持和两者结合的方式。</w:t>
            </w:r>
          </w:p>
        </w:tc>
        <w:tc>
          <w:tcPr>
            <w:tcW w:w="354" w:type="pct"/>
            <w:shd w:val="clear" w:color="auto" w:fill="auto"/>
            <w:noWrap/>
            <w:vAlign w:val="center"/>
          </w:tcPr>
          <w:p>
            <w:pPr>
              <w:widowControl/>
              <w:snapToGrid w:val="0"/>
              <w:spacing w:line="280" w:lineRule="exact"/>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155" w:type="pct"/>
            <w:vMerge w:val="continue"/>
            <w:vAlign w:val="center"/>
          </w:tcPr>
          <w:p>
            <w:pPr>
              <w:widowControl/>
              <w:snapToGrid w:val="0"/>
              <w:spacing w:line="280" w:lineRule="exact"/>
              <w:jc w:val="left"/>
              <w:rPr>
                <w:rFonts w:ascii="宋体" w:hAnsi="宋体" w:eastAsia="宋体" w:cs="宋体"/>
                <w:color w:val="000000"/>
                <w:kern w:val="0"/>
                <w:sz w:val="22"/>
              </w:rPr>
            </w:pPr>
          </w:p>
        </w:tc>
        <w:tc>
          <w:tcPr>
            <w:tcW w:w="348" w:type="pct"/>
            <w:vMerge w:val="continue"/>
            <w:vAlign w:val="center"/>
          </w:tcPr>
          <w:p>
            <w:pPr>
              <w:widowControl/>
              <w:snapToGrid w:val="0"/>
              <w:spacing w:line="280" w:lineRule="exact"/>
              <w:jc w:val="left"/>
              <w:rPr>
                <w:rFonts w:ascii="宋体" w:hAnsi="宋体" w:eastAsia="宋体" w:cs="宋体"/>
                <w:color w:val="000000"/>
                <w:kern w:val="0"/>
                <w:sz w:val="22"/>
              </w:rPr>
            </w:pPr>
          </w:p>
        </w:tc>
        <w:tc>
          <w:tcPr>
            <w:tcW w:w="528" w:type="pct"/>
            <w:shd w:val="clear" w:color="auto" w:fill="auto"/>
            <w:vAlign w:val="center"/>
          </w:tcPr>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移民困难扶助金</w:t>
            </w:r>
          </w:p>
        </w:tc>
        <w:tc>
          <w:tcPr>
            <w:tcW w:w="692"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《湖南省水库移民资金管理办法》（湘财农〔2023〕14号）</w:t>
            </w:r>
          </w:p>
        </w:tc>
        <w:tc>
          <w:tcPr>
            <w:tcW w:w="876"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小水库移民、原享受了口粮补贴而不能享受国家扶持补助政策人员和其他连带影响人口</w:t>
            </w:r>
          </w:p>
        </w:tc>
        <w:tc>
          <w:tcPr>
            <w:tcW w:w="2047"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各县市区制定的原移民口粮补贴标准。</w:t>
            </w:r>
          </w:p>
        </w:tc>
        <w:tc>
          <w:tcPr>
            <w:tcW w:w="354" w:type="pct"/>
            <w:shd w:val="clear" w:color="auto" w:fill="auto"/>
            <w:noWrap/>
            <w:vAlign w:val="center"/>
          </w:tcPr>
          <w:p>
            <w:pPr>
              <w:widowControl/>
              <w:snapToGrid w:val="0"/>
              <w:spacing w:line="280" w:lineRule="exact"/>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155" w:type="pct"/>
            <w:vMerge w:val="restart"/>
            <w:shd w:val="clear" w:color="auto" w:fill="auto"/>
            <w:noWrap/>
            <w:vAlign w:val="center"/>
          </w:tcPr>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348" w:type="pct"/>
            <w:vMerge w:val="restart"/>
            <w:shd w:val="clear" w:color="auto" w:fill="auto"/>
            <w:vAlign w:val="center"/>
          </w:tcPr>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湖南省农业农村厅</w:t>
            </w:r>
          </w:p>
        </w:tc>
        <w:tc>
          <w:tcPr>
            <w:tcW w:w="528" w:type="pct"/>
            <w:shd w:val="clear" w:color="auto" w:fill="auto"/>
            <w:vAlign w:val="center"/>
          </w:tcPr>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耕地地力保护补贴</w:t>
            </w:r>
          </w:p>
        </w:tc>
        <w:tc>
          <w:tcPr>
            <w:tcW w:w="692"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《湖南省人民政府办公厅关于印发&lt;湖南省耕地地力保护补贴政策实施方案&gt;的通知》（湘政办发〔2022〕69号）</w:t>
            </w:r>
          </w:p>
        </w:tc>
        <w:tc>
          <w:tcPr>
            <w:tcW w:w="876"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拥有耕地承包权的种地农民</w:t>
            </w:r>
          </w:p>
        </w:tc>
        <w:tc>
          <w:tcPr>
            <w:tcW w:w="2047"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享受补贴的农民要做到耕地不撂荒，地力不降低。补贴标准不低于95元/亩，最高不超过114元/亩，按上述补贴标准发放后仍有结余的，鼓励各地按照粮食实际播种面积等因素提高双季稻生产的补贴标准。</w:t>
            </w:r>
          </w:p>
        </w:tc>
        <w:tc>
          <w:tcPr>
            <w:tcW w:w="354" w:type="pct"/>
            <w:shd w:val="clear" w:color="auto" w:fill="auto"/>
            <w:noWrap/>
            <w:vAlign w:val="center"/>
          </w:tcPr>
          <w:p>
            <w:pPr>
              <w:widowControl/>
              <w:snapToGrid w:val="0"/>
              <w:spacing w:line="280" w:lineRule="exact"/>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trPr>
        <w:tc>
          <w:tcPr>
            <w:tcW w:w="155" w:type="pct"/>
            <w:vMerge w:val="continue"/>
            <w:vAlign w:val="center"/>
          </w:tcPr>
          <w:p>
            <w:pPr>
              <w:widowControl/>
              <w:snapToGrid w:val="0"/>
              <w:spacing w:line="280" w:lineRule="exact"/>
              <w:jc w:val="left"/>
              <w:rPr>
                <w:rFonts w:ascii="宋体" w:hAnsi="宋体" w:eastAsia="宋体" w:cs="宋体"/>
                <w:color w:val="000000"/>
                <w:kern w:val="0"/>
                <w:sz w:val="22"/>
              </w:rPr>
            </w:pPr>
          </w:p>
        </w:tc>
        <w:tc>
          <w:tcPr>
            <w:tcW w:w="348" w:type="pct"/>
            <w:vMerge w:val="continue"/>
            <w:vAlign w:val="center"/>
          </w:tcPr>
          <w:p>
            <w:pPr>
              <w:widowControl/>
              <w:snapToGrid w:val="0"/>
              <w:spacing w:line="280" w:lineRule="exact"/>
              <w:jc w:val="left"/>
              <w:rPr>
                <w:rFonts w:ascii="宋体" w:hAnsi="宋体" w:eastAsia="宋体" w:cs="宋体"/>
                <w:color w:val="000000"/>
                <w:kern w:val="0"/>
                <w:sz w:val="22"/>
              </w:rPr>
            </w:pPr>
          </w:p>
        </w:tc>
        <w:tc>
          <w:tcPr>
            <w:tcW w:w="528" w:type="pct"/>
            <w:shd w:val="clear" w:color="auto" w:fill="auto"/>
            <w:vAlign w:val="center"/>
          </w:tcPr>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稻谷目标价格补贴</w:t>
            </w:r>
          </w:p>
        </w:tc>
        <w:tc>
          <w:tcPr>
            <w:tcW w:w="692"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《湖南省财政厅 湖南省发展和改革委员会 湖南省农业农村厅 湖南省粮食和物资储备局 国家统计局湖南调查总队关于印发&lt;湖南省2023年稻谷价格补贴工作实施方案&gt;的通知》（湘财建〔2023〕13号）</w:t>
            </w:r>
          </w:p>
        </w:tc>
        <w:tc>
          <w:tcPr>
            <w:tcW w:w="876"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省内实际水稻生产者</w:t>
            </w:r>
          </w:p>
        </w:tc>
        <w:tc>
          <w:tcPr>
            <w:tcW w:w="2047"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省级根据水稻种植面积因素将资金测算下达至市州、省直管县市。各地根据本地实际确定具体补贴标准，在充分考虑小农户利益基础上，可对优质稻种植者、早稻种植者（含早稻集中育秧）、实行订单生产的种植者、适度规模经营者额外增加补贴，增加补贴部分不得超过补贴资金总额的30%。通过实施稻谷目标价格补贴政策，保障稻谷生产和优势产区稻谷种植收益基本稳定，引导种植结构调整，促进增加绿色优质稻谷供给。</w:t>
            </w:r>
          </w:p>
        </w:tc>
        <w:tc>
          <w:tcPr>
            <w:tcW w:w="354" w:type="pct"/>
            <w:shd w:val="clear" w:color="auto" w:fill="auto"/>
            <w:noWrap/>
            <w:vAlign w:val="center"/>
          </w:tcPr>
          <w:p>
            <w:pPr>
              <w:widowControl/>
              <w:snapToGrid w:val="0"/>
              <w:spacing w:line="280" w:lineRule="exact"/>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0" w:hRule="atLeast"/>
        </w:trPr>
        <w:tc>
          <w:tcPr>
            <w:tcW w:w="155" w:type="pct"/>
            <w:vMerge w:val="continue"/>
            <w:vAlign w:val="center"/>
          </w:tcPr>
          <w:p>
            <w:pPr>
              <w:widowControl/>
              <w:snapToGrid w:val="0"/>
              <w:spacing w:line="280" w:lineRule="exact"/>
              <w:jc w:val="left"/>
              <w:rPr>
                <w:rFonts w:ascii="宋体" w:hAnsi="宋体" w:eastAsia="宋体" w:cs="宋体"/>
                <w:color w:val="000000"/>
                <w:kern w:val="0"/>
                <w:sz w:val="22"/>
              </w:rPr>
            </w:pPr>
          </w:p>
        </w:tc>
        <w:tc>
          <w:tcPr>
            <w:tcW w:w="348" w:type="pct"/>
            <w:vMerge w:val="continue"/>
            <w:vAlign w:val="center"/>
          </w:tcPr>
          <w:p>
            <w:pPr>
              <w:widowControl/>
              <w:snapToGrid w:val="0"/>
              <w:spacing w:line="280" w:lineRule="exact"/>
              <w:jc w:val="left"/>
              <w:rPr>
                <w:rFonts w:ascii="宋体" w:hAnsi="宋体" w:eastAsia="宋体" w:cs="宋体"/>
                <w:color w:val="000000"/>
                <w:kern w:val="0"/>
                <w:sz w:val="22"/>
              </w:rPr>
            </w:pPr>
          </w:p>
        </w:tc>
        <w:tc>
          <w:tcPr>
            <w:tcW w:w="528" w:type="pct"/>
            <w:shd w:val="clear" w:color="auto" w:fill="auto"/>
            <w:vAlign w:val="center"/>
          </w:tcPr>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雨露计划补助</w:t>
            </w:r>
          </w:p>
        </w:tc>
        <w:tc>
          <w:tcPr>
            <w:tcW w:w="692"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1.《湖南省扶贫开发办公室 湖南省教育厅 湖南省人力资源和社会保障厅 湖南省财政厅关于切实加强雨露计划职业教育扶贫补助实施工作的通知》（湘扶办联〔2018〕3号）                            2.《财政部 国家乡村振兴局 国家发展改革委 国家民委 农业农村部 国家林业和草原局关于印发&lt;中央财政衔接推进乡村振兴补助资金管理办法&gt;的通知》（财农〔2021〕19号）</w:t>
            </w:r>
          </w:p>
        </w:tc>
        <w:tc>
          <w:tcPr>
            <w:tcW w:w="876"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就读中等职业学校（含普通中专、职业中专、成人中专、职业高中、技工院校）、高职高专院校、技师学院已注册普通全日制正式学籍的本省农村原建档立卡贫困户子女</w:t>
            </w:r>
          </w:p>
        </w:tc>
        <w:tc>
          <w:tcPr>
            <w:tcW w:w="2047"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每生每年3000元。</w:t>
            </w:r>
          </w:p>
        </w:tc>
        <w:tc>
          <w:tcPr>
            <w:tcW w:w="354" w:type="pct"/>
            <w:shd w:val="clear" w:color="auto" w:fill="auto"/>
            <w:noWrap/>
            <w:vAlign w:val="center"/>
          </w:tcPr>
          <w:p>
            <w:pPr>
              <w:widowControl/>
              <w:snapToGrid w:val="0"/>
              <w:spacing w:line="280" w:lineRule="exact"/>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3" w:hRule="atLeast"/>
        </w:trPr>
        <w:tc>
          <w:tcPr>
            <w:tcW w:w="155" w:type="pct"/>
            <w:vMerge w:val="restart"/>
            <w:shd w:val="clear" w:color="auto" w:fill="auto"/>
            <w:noWrap/>
            <w:vAlign w:val="center"/>
          </w:tcPr>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348" w:type="pct"/>
            <w:vMerge w:val="restart"/>
            <w:shd w:val="clear" w:color="auto" w:fill="auto"/>
            <w:vAlign w:val="center"/>
          </w:tcPr>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湖南省卫生健康委员会</w:t>
            </w:r>
          </w:p>
        </w:tc>
        <w:tc>
          <w:tcPr>
            <w:tcW w:w="528" w:type="pct"/>
            <w:shd w:val="clear" w:color="auto" w:fill="auto"/>
            <w:vAlign w:val="center"/>
          </w:tcPr>
          <w:p>
            <w:pPr>
              <w:widowControl/>
              <w:snapToGrid w:val="0"/>
              <w:spacing w:line="28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农村计划生育家庭特别扶助</w:t>
            </w:r>
          </w:p>
        </w:tc>
        <w:tc>
          <w:tcPr>
            <w:tcW w:w="692" w:type="pct"/>
            <w:shd w:val="clear" w:color="auto" w:fill="auto"/>
            <w:vAlign w:val="center"/>
          </w:tcPr>
          <w:p>
            <w:pPr>
              <w:widowControl/>
              <w:snapToGrid w:val="0"/>
              <w:spacing w:line="28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1.《国家人口计生委 财政部关于印发</w:t>
            </w:r>
            <w:r>
              <w:rPr>
                <w:rFonts w:ascii="仿宋" w:hAnsi="仿宋" w:eastAsia="仿宋" w:cs="宋体"/>
                <w:color w:val="000000"/>
                <w:kern w:val="0"/>
                <w:sz w:val="20"/>
                <w:szCs w:val="20"/>
              </w:rPr>
              <w:t>&lt;</w:t>
            </w:r>
            <w:r>
              <w:rPr>
                <w:rFonts w:ascii="宋体" w:hAnsi="宋体" w:eastAsia="宋体" w:cs="宋体"/>
                <w:color w:val="000000"/>
                <w:kern w:val="0"/>
                <w:sz w:val="20"/>
                <w:szCs w:val="20"/>
              </w:rPr>
              <w:t>全国独生子女伤残死亡家庭扶助制度试点方案&gt;的通知》（国人口发〔2007〕78号）</w:t>
            </w:r>
            <w:r>
              <w:rPr>
                <w:rFonts w:hint="eastAsia" w:ascii="宋体" w:hAnsi="宋体" w:eastAsia="宋体" w:cs="宋体"/>
                <w:color w:val="000000"/>
                <w:kern w:val="0"/>
                <w:sz w:val="20"/>
                <w:szCs w:val="20"/>
              </w:rPr>
              <w:br w:type="textWrapping"/>
            </w:r>
            <w:r>
              <w:rPr>
                <w:rFonts w:ascii="宋体" w:hAnsi="宋体" w:eastAsia="宋体" w:cs="宋体"/>
                <w:color w:val="000000"/>
                <w:kern w:val="0"/>
                <w:sz w:val="20"/>
                <w:szCs w:val="20"/>
              </w:rPr>
              <w:t>2.《国家人口计生委 财政部关于实施“三项制度”工作的通知》（国人口发〔2008〕83号 ）</w:t>
            </w:r>
            <w:r>
              <w:rPr>
                <w:rFonts w:hint="eastAsia" w:ascii="宋体" w:hAnsi="宋体" w:eastAsia="宋体" w:cs="宋体"/>
                <w:color w:val="000000"/>
                <w:kern w:val="0"/>
                <w:sz w:val="20"/>
                <w:szCs w:val="20"/>
              </w:rPr>
              <w:br w:type="textWrapping"/>
            </w:r>
            <w:r>
              <w:rPr>
                <w:rFonts w:ascii="宋体" w:hAnsi="宋体" w:eastAsia="宋体" w:cs="宋体"/>
                <w:color w:val="000000"/>
                <w:kern w:val="0"/>
                <w:sz w:val="20"/>
                <w:szCs w:val="20"/>
              </w:rPr>
              <w:t>3.《国家人口计生委 财政部关于将三级以上计划生育手术并发症人员纳入计划生育家庭特别扶助制度的通知》（人口政法〔2011〕62号 ）</w:t>
            </w:r>
            <w:r>
              <w:rPr>
                <w:rFonts w:hint="eastAsia" w:ascii="宋体" w:hAnsi="宋体" w:eastAsia="宋体" w:cs="宋体"/>
                <w:color w:val="000000"/>
                <w:kern w:val="0"/>
                <w:sz w:val="20"/>
                <w:szCs w:val="20"/>
              </w:rPr>
              <w:br w:type="textWrapping"/>
            </w:r>
            <w:r>
              <w:rPr>
                <w:rFonts w:ascii="宋体" w:hAnsi="宋体" w:eastAsia="宋体" w:cs="宋体"/>
                <w:color w:val="000000"/>
                <w:kern w:val="0"/>
                <w:sz w:val="20"/>
                <w:szCs w:val="20"/>
              </w:rPr>
              <w:t>4.《湖南省财政厅 湖南省卫生健康委员会关于提高计划生育家庭特别扶助制度扶助标准的通知》（湘财社〔2022〕12号）</w:t>
            </w:r>
          </w:p>
        </w:tc>
        <w:tc>
          <w:tcPr>
            <w:tcW w:w="876" w:type="pct"/>
            <w:shd w:val="clear" w:color="auto" w:fill="auto"/>
            <w:vAlign w:val="center"/>
          </w:tcPr>
          <w:p>
            <w:pPr>
              <w:widowControl/>
              <w:snapToGrid w:val="0"/>
              <w:spacing w:line="28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独生子女死亡、伤残家庭和计划生育手术并发症人员（并发症等级为三级及以上）</w:t>
            </w:r>
          </w:p>
        </w:tc>
        <w:tc>
          <w:tcPr>
            <w:tcW w:w="2047" w:type="pct"/>
            <w:shd w:val="clear" w:color="auto" w:fill="auto"/>
            <w:vAlign w:val="center"/>
          </w:tcPr>
          <w:p>
            <w:pPr>
              <w:widowControl/>
              <w:snapToGrid w:val="0"/>
              <w:spacing w:line="28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自2022年7月1日起，提高计划生育家庭特别扶助制度扶助标准，独生子女死亡、伤残家庭特别扶助省级标准分别为每人每月不低于640元、510元。计划生育手术并发症人员一级、二级、三级特别扶助标准分别为每人每月不低于590元、460元、330元。</w:t>
            </w:r>
          </w:p>
        </w:tc>
        <w:tc>
          <w:tcPr>
            <w:tcW w:w="354" w:type="pct"/>
            <w:shd w:val="clear" w:color="auto" w:fill="auto"/>
            <w:noWrap/>
            <w:vAlign w:val="center"/>
          </w:tcPr>
          <w:p>
            <w:pPr>
              <w:widowControl/>
              <w:snapToGrid w:val="0"/>
              <w:spacing w:line="280" w:lineRule="exact"/>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0" w:hRule="atLeast"/>
        </w:trPr>
        <w:tc>
          <w:tcPr>
            <w:tcW w:w="155" w:type="pct"/>
            <w:vMerge w:val="continue"/>
            <w:vAlign w:val="center"/>
          </w:tcPr>
          <w:p>
            <w:pPr>
              <w:widowControl/>
              <w:snapToGrid w:val="0"/>
              <w:spacing w:line="280" w:lineRule="exact"/>
              <w:jc w:val="left"/>
              <w:rPr>
                <w:rFonts w:ascii="宋体" w:hAnsi="宋体" w:eastAsia="宋体" w:cs="宋体"/>
                <w:color w:val="000000"/>
                <w:kern w:val="0"/>
                <w:sz w:val="22"/>
              </w:rPr>
            </w:pPr>
          </w:p>
        </w:tc>
        <w:tc>
          <w:tcPr>
            <w:tcW w:w="348" w:type="pct"/>
            <w:vMerge w:val="continue"/>
            <w:vAlign w:val="center"/>
          </w:tcPr>
          <w:p>
            <w:pPr>
              <w:widowControl/>
              <w:snapToGrid w:val="0"/>
              <w:spacing w:line="280" w:lineRule="exact"/>
              <w:jc w:val="left"/>
              <w:rPr>
                <w:rFonts w:ascii="宋体" w:hAnsi="宋体" w:eastAsia="宋体" w:cs="宋体"/>
                <w:color w:val="000000"/>
                <w:kern w:val="0"/>
                <w:sz w:val="22"/>
              </w:rPr>
            </w:pPr>
          </w:p>
        </w:tc>
        <w:tc>
          <w:tcPr>
            <w:tcW w:w="528" w:type="pct"/>
            <w:shd w:val="clear" w:color="auto" w:fill="auto"/>
            <w:vAlign w:val="center"/>
          </w:tcPr>
          <w:p>
            <w:pPr>
              <w:widowControl/>
              <w:snapToGrid w:val="0"/>
              <w:spacing w:line="28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农村部分计划生育家庭奖励扶助</w:t>
            </w:r>
          </w:p>
        </w:tc>
        <w:tc>
          <w:tcPr>
            <w:tcW w:w="692" w:type="pct"/>
            <w:shd w:val="clear" w:color="auto" w:fill="auto"/>
            <w:vAlign w:val="center"/>
          </w:tcPr>
          <w:p>
            <w:pPr>
              <w:widowControl/>
              <w:snapToGrid w:val="0"/>
              <w:spacing w:line="28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1.《国家人口计生委 财政部关于印发〈农村部分计划生育家庭奖励扶助制度试点方案(试行)</w:t>
            </w:r>
            <w:r>
              <w:rPr>
                <w:rFonts w:ascii="宋体" w:hAnsi="宋体" w:eastAsia="宋体" w:cs="宋体"/>
                <w:color w:val="000000"/>
                <w:kern w:val="0"/>
                <w:sz w:val="20"/>
                <w:szCs w:val="20"/>
              </w:rPr>
              <w:t xml:space="preserve">&gt;的通知》（国人口发〔2004〕36号）                         </w:t>
            </w:r>
            <w:r>
              <w:rPr>
                <w:rFonts w:hint="eastAsia" w:ascii="宋体" w:hAnsi="宋体" w:eastAsia="宋体" w:cs="宋体"/>
                <w:color w:val="000000"/>
                <w:kern w:val="0"/>
                <w:sz w:val="20"/>
                <w:szCs w:val="20"/>
              </w:rPr>
              <w:br w:type="textWrapping"/>
            </w:r>
            <w:r>
              <w:rPr>
                <w:rFonts w:ascii="宋体" w:hAnsi="宋体" w:eastAsia="宋体" w:cs="宋体"/>
                <w:color w:val="000000"/>
                <w:kern w:val="0"/>
                <w:sz w:val="20"/>
                <w:szCs w:val="20"/>
              </w:rPr>
              <w:t>2.《财政部 人口计生委关于调整全国农村部分计划生育家庭奖励扶助和计划生育家庭特别扶助标准的通知》（财教〔2011〕623号）</w:t>
            </w:r>
          </w:p>
        </w:tc>
        <w:tc>
          <w:tcPr>
            <w:tcW w:w="876" w:type="pct"/>
            <w:shd w:val="clear" w:color="auto" w:fill="auto"/>
            <w:vAlign w:val="center"/>
          </w:tcPr>
          <w:p>
            <w:pPr>
              <w:widowControl/>
              <w:snapToGrid w:val="0"/>
              <w:spacing w:line="28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2015年12月31日之前生育（收养）了子女，且同时符合以下条件的合法夫妻：</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一 ）本人为农村居民；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二 ）未违反计划生育法律法规和政策规定的生育数量多生育（收养）子女；</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三 ）现存一个子女或两个女孩，或子女死亡现无子女；</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（四 ）本人1933年1月1日后出生，年满60周岁（出生时间原则上以居民身份证的出生日期为准，未办理居民身份证的，以户口簿登记的出生日期为准）。</w:t>
            </w:r>
          </w:p>
        </w:tc>
        <w:tc>
          <w:tcPr>
            <w:tcW w:w="2047" w:type="pct"/>
            <w:shd w:val="clear" w:color="auto" w:fill="auto"/>
            <w:vAlign w:val="center"/>
          </w:tcPr>
          <w:p>
            <w:pPr>
              <w:widowControl/>
              <w:snapToGrid w:val="0"/>
              <w:spacing w:line="28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每人每月不低于80元。</w:t>
            </w:r>
          </w:p>
        </w:tc>
        <w:tc>
          <w:tcPr>
            <w:tcW w:w="354" w:type="pct"/>
            <w:shd w:val="clear" w:color="auto" w:fill="auto"/>
            <w:noWrap/>
            <w:vAlign w:val="center"/>
          </w:tcPr>
          <w:p>
            <w:pPr>
              <w:widowControl/>
              <w:snapToGrid w:val="0"/>
              <w:spacing w:line="280" w:lineRule="exact"/>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155" w:type="pct"/>
            <w:vMerge w:val="continue"/>
            <w:vAlign w:val="center"/>
          </w:tcPr>
          <w:p>
            <w:pPr>
              <w:widowControl/>
              <w:snapToGrid w:val="0"/>
              <w:spacing w:line="280" w:lineRule="exact"/>
              <w:jc w:val="left"/>
              <w:rPr>
                <w:rFonts w:ascii="宋体" w:hAnsi="宋体" w:eastAsia="宋体" w:cs="宋体"/>
                <w:color w:val="000000"/>
                <w:kern w:val="0"/>
                <w:sz w:val="22"/>
              </w:rPr>
            </w:pPr>
          </w:p>
        </w:tc>
        <w:tc>
          <w:tcPr>
            <w:tcW w:w="348" w:type="pct"/>
            <w:vMerge w:val="continue"/>
            <w:vAlign w:val="center"/>
          </w:tcPr>
          <w:p>
            <w:pPr>
              <w:widowControl/>
              <w:snapToGrid w:val="0"/>
              <w:spacing w:line="280" w:lineRule="exact"/>
              <w:jc w:val="left"/>
              <w:rPr>
                <w:rFonts w:ascii="宋体" w:hAnsi="宋体" w:eastAsia="宋体" w:cs="宋体"/>
                <w:color w:val="000000"/>
                <w:kern w:val="0"/>
                <w:sz w:val="22"/>
              </w:rPr>
            </w:pPr>
          </w:p>
        </w:tc>
        <w:tc>
          <w:tcPr>
            <w:tcW w:w="528" w:type="pct"/>
            <w:shd w:val="clear" w:color="auto" w:fill="auto"/>
            <w:vAlign w:val="center"/>
          </w:tcPr>
          <w:p>
            <w:pPr>
              <w:widowControl/>
              <w:snapToGrid w:val="0"/>
              <w:spacing w:line="28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独生子女保健费</w:t>
            </w:r>
          </w:p>
        </w:tc>
        <w:tc>
          <w:tcPr>
            <w:tcW w:w="692" w:type="pct"/>
            <w:shd w:val="clear" w:color="auto" w:fill="auto"/>
            <w:vAlign w:val="center"/>
          </w:tcPr>
          <w:p>
            <w:pPr>
              <w:widowControl/>
              <w:snapToGrid w:val="0"/>
              <w:spacing w:line="28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1.《湖南省人口与计划生育条例》                                  2.《湖南省人口计生委 湖南省财政厅关于独生子女保健费发放有关问题的通知》（湘人口发〔2011〕6号）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3.《湖南省人口计生委关于印发&lt;独生子女保健费发放对象确认办法&gt;的通知》（湘人口发〔2011〕7号）</w:t>
            </w:r>
          </w:p>
        </w:tc>
        <w:tc>
          <w:tcPr>
            <w:tcW w:w="876" w:type="pct"/>
            <w:shd w:val="clear" w:color="auto" w:fill="auto"/>
            <w:vAlign w:val="center"/>
          </w:tcPr>
          <w:p>
            <w:pPr>
              <w:widowControl/>
              <w:snapToGrid w:val="0"/>
              <w:spacing w:line="28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在国家提倡一对夫妻生育一个子女期间，自愿终身只生育一个子女并持有《独生子女父母光荣证》的夫妻。</w:t>
            </w:r>
          </w:p>
        </w:tc>
        <w:tc>
          <w:tcPr>
            <w:tcW w:w="2047" w:type="pct"/>
            <w:shd w:val="clear" w:color="auto" w:fill="auto"/>
            <w:vAlign w:val="center"/>
          </w:tcPr>
          <w:p>
            <w:pPr>
              <w:widowControl/>
              <w:snapToGrid w:val="0"/>
              <w:spacing w:line="28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从领证之月起到子女十四周岁止，每月发放五至二十元的独生子女保健费。</w:t>
            </w:r>
          </w:p>
        </w:tc>
        <w:tc>
          <w:tcPr>
            <w:tcW w:w="354" w:type="pct"/>
            <w:shd w:val="clear" w:color="auto" w:fill="auto"/>
            <w:noWrap/>
            <w:vAlign w:val="center"/>
          </w:tcPr>
          <w:p>
            <w:pPr>
              <w:widowControl/>
              <w:snapToGrid w:val="0"/>
              <w:spacing w:line="280" w:lineRule="exact"/>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155" w:type="pct"/>
            <w:shd w:val="clear" w:color="auto" w:fill="auto"/>
            <w:noWrap/>
            <w:vAlign w:val="center"/>
          </w:tcPr>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348" w:type="pct"/>
            <w:shd w:val="clear" w:color="auto" w:fill="auto"/>
            <w:vAlign w:val="center"/>
          </w:tcPr>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湖南省退役军人事务厅</w:t>
            </w:r>
          </w:p>
        </w:tc>
        <w:tc>
          <w:tcPr>
            <w:tcW w:w="528" w:type="pct"/>
            <w:shd w:val="clear" w:color="auto" w:fill="auto"/>
            <w:vAlign w:val="center"/>
          </w:tcPr>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农村籍退役士兵老年生活补助</w:t>
            </w:r>
          </w:p>
        </w:tc>
        <w:tc>
          <w:tcPr>
            <w:tcW w:w="692"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《湖南省退役军人事务厅 湖南省财政厅关于调整部分优抚对象等人员抚恤和生活补助标准的通知》（湘退役军人发〔2023〕65号）</w:t>
            </w:r>
          </w:p>
        </w:tc>
        <w:tc>
          <w:tcPr>
            <w:tcW w:w="876"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年满60周岁、未享受到国家定期抚恤补助的农村籍退役士兵</w:t>
            </w:r>
          </w:p>
        </w:tc>
        <w:tc>
          <w:tcPr>
            <w:tcW w:w="2047"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老年生活补助标准为每服一年义务兵役每人每年补助688元，从2023年8月1日起执行。</w:t>
            </w:r>
          </w:p>
        </w:tc>
        <w:tc>
          <w:tcPr>
            <w:tcW w:w="354" w:type="pct"/>
            <w:shd w:val="clear" w:color="auto" w:fill="auto"/>
            <w:noWrap/>
            <w:vAlign w:val="center"/>
          </w:tcPr>
          <w:p>
            <w:pPr>
              <w:widowControl/>
              <w:snapToGrid w:val="0"/>
              <w:spacing w:line="280" w:lineRule="exact"/>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trPr>
        <w:tc>
          <w:tcPr>
            <w:tcW w:w="155" w:type="pct"/>
            <w:vMerge w:val="restart"/>
            <w:shd w:val="clear" w:color="auto" w:fill="auto"/>
            <w:noWrap/>
            <w:vAlign w:val="center"/>
          </w:tcPr>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348" w:type="pct"/>
            <w:vMerge w:val="restart"/>
            <w:shd w:val="clear" w:color="auto" w:fill="auto"/>
            <w:vAlign w:val="center"/>
          </w:tcPr>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湖南省</w:t>
            </w:r>
          </w:p>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林业局</w:t>
            </w:r>
          </w:p>
        </w:tc>
        <w:tc>
          <w:tcPr>
            <w:tcW w:w="528" w:type="pct"/>
            <w:shd w:val="clear" w:color="auto" w:fill="auto"/>
            <w:vAlign w:val="center"/>
          </w:tcPr>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非国有林保护补偿资金</w:t>
            </w:r>
          </w:p>
        </w:tc>
        <w:tc>
          <w:tcPr>
            <w:tcW w:w="692"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1.《财政部 国家林草局关于印发&lt;林业草原改革发展资金管理办法&gt;的通知》（财资环〔2022〕171号）                                                  2.《湖南省财政厅 湖南省林业局关于印发&lt;湖南省林业生态保护修复及发展资金管理办法&gt;的通知》（湘财资环〔2020〕33号）</w:t>
            </w:r>
          </w:p>
        </w:tc>
        <w:tc>
          <w:tcPr>
            <w:tcW w:w="876"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全省非国有国家级、省级公益林和纳入补助范围的非国有天然商品林所有者或经营者。</w:t>
            </w:r>
          </w:p>
        </w:tc>
        <w:tc>
          <w:tcPr>
            <w:tcW w:w="2047"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根据实际情况按国家下达资金量及任务量确定具体补偿标准。</w:t>
            </w:r>
          </w:p>
        </w:tc>
        <w:tc>
          <w:tcPr>
            <w:tcW w:w="354" w:type="pct"/>
            <w:shd w:val="clear" w:color="auto" w:fill="auto"/>
            <w:noWrap/>
            <w:vAlign w:val="center"/>
          </w:tcPr>
          <w:p>
            <w:pPr>
              <w:widowControl/>
              <w:snapToGrid w:val="0"/>
              <w:spacing w:line="280" w:lineRule="exact"/>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0" w:hRule="atLeast"/>
        </w:trPr>
        <w:tc>
          <w:tcPr>
            <w:tcW w:w="155" w:type="pct"/>
            <w:vMerge w:val="continue"/>
            <w:vAlign w:val="center"/>
          </w:tcPr>
          <w:p>
            <w:pPr>
              <w:widowControl/>
              <w:snapToGrid w:val="0"/>
              <w:spacing w:line="280" w:lineRule="exact"/>
              <w:jc w:val="left"/>
              <w:rPr>
                <w:rFonts w:ascii="宋体" w:hAnsi="宋体" w:eastAsia="宋体" w:cs="宋体"/>
                <w:color w:val="000000"/>
                <w:kern w:val="0"/>
                <w:sz w:val="22"/>
              </w:rPr>
            </w:pPr>
          </w:p>
        </w:tc>
        <w:tc>
          <w:tcPr>
            <w:tcW w:w="348" w:type="pct"/>
            <w:vMerge w:val="continue"/>
            <w:vAlign w:val="center"/>
          </w:tcPr>
          <w:p>
            <w:pPr>
              <w:widowControl/>
              <w:snapToGrid w:val="0"/>
              <w:spacing w:line="280" w:lineRule="exact"/>
              <w:jc w:val="left"/>
              <w:rPr>
                <w:rFonts w:ascii="宋体" w:hAnsi="宋体" w:eastAsia="宋体" w:cs="宋体"/>
                <w:color w:val="000000"/>
                <w:kern w:val="0"/>
                <w:sz w:val="22"/>
              </w:rPr>
            </w:pPr>
          </w:p>
        </w:tc>
        <w:tc>
          <w:tcPr>
            <w:tcW w:w="528" w:type="pct"/>
            <w:shd w:val="clear" w:color="auto" w:fill="auto"/>
            <w:noWrap/>
            <w:vAlign w:val="center"/>
          </w:tcPr>
          <w:p>
            <w:pPr>
              <w:widowControl/>
              <w:snapToGrid w:val="0"/>
              <w:spacing w:line="28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新一轮退耕还林补助</w:t>
            </w:r>
          </w:p>
        </w:tc>
        <w:tc>
          <w:tcPr>
            <w:tcW w:w="692"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1.《退耕还林条例》        2.《新一轮退耕还林还草总体方案》                          3. 《林业草原生态保护恢复资金管理办法》                              4.《自然资源部国家林草局国家发展改革委财政部农业农村部关于进一步完善政策措施巩固退耕还林还草成果的通知》（自然资源发〔2022〕191号）</w:t>
            </w:r>
          </w:p>
        </w:tc>
        <w:tc>
          <w:tcPr>
            <w:tcW w:w="876"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退耕还林农户</w:t>
            </w:r>
          </w:p>
        </w:tc>
        <w:tc>
          <w:tcPr>
            <w:tcW w:w="2047"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1.新一轮退耕还林补助资金：国家每亩补助现金1200元，分三批下达，即第一年500元、第三年300元、第五年400元，另第一年还有每亩400元的种苗补助费。                                                        2.第二轮退耕还林现金补助期满后，现金补助期限延长5年，补助标准为每亩500元即每年每亩100元。</w:t>
            </w:r>
          </w:p>
        </w:tc>
        <w:tc>
          <w:tcPr>
            <w:tcW w:w="354" w:type="pct"/>
            <w:shd w:val="clear" w:color="auto" w:fill="auto"/>
            <w:noWrap/>
            <w:vAlign w:val="center"/>
          </w:tcPr>
          <w:p>
            <w:pPr>
              <w:widowControl/>
              <w:snapToGrid w:val="0"/>
              <w:spacing w:line="280" w:lineRule="exact"/>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155" w:type="pct"/>
            <w:vMerge w:val="continue"/>
            <w:vAlign w:val="center"/>
          </w:tcPr>
          <w:p>
            <w:pPr>
              <w:widowControl/>
              <w:snapToGrid w:val="0"/>
              <w:spacing w:line="280" w:lineRule="exact"/>
              <w:jc w:val="left"/>
              <w:rPr>
                <w:rFonts w:ascii="宋体" w:hAnsi="宋体" w:eastAsia="宋体" w:cs="宋体"/>
                <w:color w:val="000000"/>
                <w:kern w:val="0"/>
                <w:sz w:val="22"/>
              </w:rPr>
            </w:pPr>
          </w:p>
        </w:tc>
        <w:tc>
          <w:tcPr>
            <w:tcW w:w="348" w:type="pct"/>
            <w:vMerge w:val="continue"/>
            <w:vAlign w:val="center"/>
          </w:tcPr>
          <w:p>
            <w:pPr>
              <w:widowControl/>
              <w:snapToGrid w:val="0"/>
              <w:spacing w:line="280" w:lineRule="exact"/>
              <w:jc w:val="left"/>
              <w:rPr>
                <w:rFonts w:ascii="宋体" w:hAnsi="宋体" w:eastAsia="宋体" w:cs="宋体"/>
                <w:color w:val="000000"/>
                <w:kern w:val="0"/>
                <w:sz w:val="22"/>
              </w:rPr>
            </w:pPr>
          </w:p>
        </w:tc>
        <w:tc>
          <w:tcPr>
            <w:tcW w:w="528" w:type="pct"/>
            <w:shd w:val="clear" w:color="auto" w:fill="auto"/>
            <w:vAlign w:val="center"/>
          </w:tcPr>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生态护林员补助</w:t>
            </w:r>
          </w:p>
        </w:tc>
        <w:tc>
          <w:tcPr>
            <w:tcW w:w="692"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 xml:space="preserve">《财政部 国家林草局关于印发&lt;林业草原生态保护恢复资金管理办法&gt;的通知》（财资环〔2022〕170号）        </w:t>
            </w:r>
          </w:p>
        </w:tc>
        <w:tc>
          <w:tcPr>
            <w:tcW w:w="876"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脱贫地区受聘开展森林、草原、湿地、沙化土地等资源管护的脱贫人口</w:t>
            </w:r>
          </w:p>
        </w:tc>
        <w:tc>
          <w:tcPr>
            <w:tcW w:w="2047"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管护补助标准为每年人均10000元。</w:t>
            </w:r>
          </w:p>
        </w:tc>
        <w:tc>
          <w:tcPr>
            <w:tcW w:w="354" w:type="pct"/>
            <w:shd w:val="clear" w:color="auto" w:fill="auto"/>
            <w:noWrap/>
            <w:vAlign w:val="center"/>
          </w:tcPr>
          <w:p>
            <w:pPr>
              <w:widowControl/>
              <w:snapToGrid w:val="0"/>
              <w:spacing w:line="280" w:lineRule="exact"/>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155" w:type="pct"/>
            <w:vMerge w:val="continue"/>
            <w:vAlign w:val="center"/>
          </w:tcPr>
          <w:p>
            <w:pPr>
              <w:widowControl/>
              <w:snapToGrid w:val="0"/>
              <w:spacing w:line="280" w:lineRule="exact"/>
              <w:jc w:val="left"/>
              <w:rPr>
                <w:rFonts w:ascii="宋体" w:hAnsi="宋体" w:eastAsia="宋体" w:cs="宋体"/>
                <w:color w:val="000000"/>
                <w:kern w:val="0"/>
                <w:sz w:val="22"/>
              </w:rPr>
            </w:pPr>
          </w:p>
        </w:tc>
        <w:tc>
          <w:tcPr>
            <w:tcW w:w="348" w:type="pct"/>
            <w:vMerge w:val="continue"/>
            <w:vAlign w:val="center"/>
          </w:tcPr>
          <w:p>
            <w:pPr>
              <w:widowControl/>
              <w:snapToGrid w:val="0"/>
              <w:spacing w:line="280" w:lineRule="exact"/>
              <w:jc w:val="left"/>
              <w:rPr>
                <w:rFonts w:ascii="宋体" w:hAnsi="宋体" w:eastAsia="宋体" w:cs="宋体"/>
                <w:color w:val="000000"/>
                <w:kern w:val="0"/>
                <w:sz w:val="22"/>
              </w:rPr>
            </w:pPr>
          </w:p>
        </w:tc>
        <w:tc>
          <w:tcPr>
            <w:tcW w:w="528" w:type="pct"/>
            <w:shd w:val="clear" w:color="auto" w:fill="auto"/>
            <w:vAlign w:val="center"/>
          </w:tcPr>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造林补贴</w:t>
            </w:r>
          </w:p>
        </w:tc>
        <w:tc>
          <w:tcPr>
            <w:tcW w:w="692"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 xml:space="preserve">《财政部 国家林草局关于印发&lt;林业草原改革发展资金管理办法&gt;的通知》（财资环〔2022〕171号）        </w:t>
            </w:r>
          </w:p>
        </w:tc>
        <w:tc>
          <w:tcPr>
            <w:tcW w:w="876"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对造林的土地拥有使用权或经营权、当年造林1亩以上的单位（国家机关除外）或个人；单位或个人通过协议委托的第三方造林主体</w:t>
            </w:r>
          </w:p>
        </w:tc>
        <w:tc>
          <w:tcPr>
            <w:tcW w:w="2047"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每亩300元</w:t>
            </w:r>
          </w:p>
        </w:tc>
        <w:tc>
          <w:tcPr>
            <w:tcW w:w="354" w:type="pct"/>
            <w:shd w:val="clear" w:color="auto" w:fill="auto"/>
            <w:noWrap/>
            <w:vAlign w:val="center"/>
          </w:tcPr>
          <w:p>
            <w:pPr>
              <w:widowControl/>
              <w:snapToGrid w:val="0"/>
              <w:spacing w:line="280" w:lineRule="exact"/>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155" w:type="pct"/>
            <w:vMerge w:val="continue"/>
            <w:vAlign w:val="center"/>
          </w:tcPr>
          <w:p>
            <w:pPr>
              <w:widowControl/>
              <w:snapToGrid w:val="0"/>
              <w:spacing w:line="280" w:lineRule="exact"/>
              <w:jc w:val="left"/>
              <w:rPr>
                <w:rFonts w:ascii="宋体" w:hAnsi="宋体" w:eastAsia="宋体" w:cs="宋体"/>
                <w:color w:val="000000"/>
                <w:kern w:val="0"/>
                <w:sz w:val="22"/>
              </w:rPr>
            </w:pPr>
          </w:p>
        </w:tc>
        <w:tc>
          <w:tcPr>
            <w:tcW w:w="348" w:type="pct"/>
            <w:vMerge w:val="continue"/>
            <w:vAlign w:val="center"/>
          </w:tcPr>
          <w:p>
            <w:pPr>
              <w:widowControl/>
              <w:snapToGrid w:val="0"/>
              <w:spacing w:line="280" w:lineRule="exact"/>
              <w:jc w:val="left"/>
              <w:rPr>
                <w:rFonts w:ascii="宋体" w:hAnsi="宋体" w:eastAsia="宋体" w:cs="宋体"/>
                <w:color w:val="000000"/>
                <w:kern w:val="0"/>
                <w:sz w:val="22"/>
              </w:rPr>
            </w:pPr>
          </w:p>
        </w:tc>
        <w:tc>
          <w:tcPr>
            <w:tcW w:w="528" w:type="pct"/>
            <w:shd w:val="clear" w:color="auto" w:fill="auto"/>
            <w:vAlign w:val="center"/>
          </w:tcPr>
          <w:p>
            <w:pPr>
              <w:widowControl/>
              <w:snapToGrid w:val="0"/>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22"/>
              </w:rPr>
              <w:t>森林抚育补助</w:t>
            </w:r>
          </w:p>
        </w:tc>
        <w:tc>
          <w:tcPr>
            <w:tcW w:w="692"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 xml:space="preserve">《财政部 国家林草局关于印发&lt;林业草原改革发展资金管理办法&gt;的通知》（财资环〔2022〕171号）        </w:t>
            </w:r>
          </w:p>
        </w:tc>
        <w:tc>
          <w:tcPr>
            <w:tcW w:w="876"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对森林质量提升的林地具有使用权或经营权、抚育连片面积50亩（含）以上的单位（国家机关除外）或个人。单个农户连片面积小于50亩，但多个农户连片面积50亩（含）以上的可以联合申报。单位或个人通过协议委托的第三方抚育的主体</w:t>
            </w:r>
          </w:p>
        </w:tc>
        <w:tc>
          <w:tcPr>
            <w:tcW w:w="2047" w:type="pct"/>
            <w:shd w:val="clear" w:color="auto" w:fill="auto"/>
            <w:vAlign w:val="center"/>
          </w:tcPr>
          <w:p>
            <w:pPr>
              <w:widowControl/>
              <w:snapToGrid w:val="0"/>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每亩200元</w:t>
            </w:r>
          </w:p>
        </w:tc>
        <w:tc>
          <w:tcPr>
            <w:tcW w:w="354" w:type="pct"/>
            <w:shd w:val="clear" w:color="auto" w:fill="auto"/>
            <w:noWrap/>
            <w:vAlign w:val="center"/>
          </w:tcPr>
          <w:p>
            <w:pPr>
              <w:widowControl/>
              <w:snapToGrid w:val="0"/>
              <w:spacing w:line="280" w:lineRule="exact"/>
              <w:jc w:val="left"/>
              <w:rPr>
                <w:rFonts w:ascii="宋体" w:hAnsi="宋体" w:eastAsia="宋体" w:cs="宋体"/>
                <w:color w:val="000000"/>
                <w:kern w:val="0"/>
                <w:sz w:val="22"/>
              </w:rPr>
            </w:pPr>
          </w:p>
        </w:tc>
      </w:tr>
    </w:tbl>
    <w:p/>
    <w:sectPr>
      <w:footerReference r:id="rId3" w:type="default"/>
      <w:pgSz w:w="23814" w:h="16839" w:orient="landscape"/>
      <w:pgMar w:top="1531" w:right="1440" w:bottom="1531" w:left="1440"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676846376"/>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7</w:t>
        </w:r>
        <w:r>
          <w:rPr>
            <w:rFonts w:ascii="Times New Roman" w:hAnsi="Times New Roman" w:cs="Times New Roman"/>
            <w:sz w:val="28"/>
            <w:szCs w:val="28"/>
          </w:rPr>
          <w:fldChar w:fldCharType="end"/>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kMDczMzc4NzdiNmQ2MzE3YTIyNWE1NDMzZGFlN2YifQ=="/>
  </w:docVars>
  <w:rsids>
    <w:rsidRoot w:val="00C37CA8"/>
    <w:rsid w:val="00263211"/>
    <w:rsid w:val="00294907"/>
    <w:rsid w:val="00312205"/>
    <w:rsid w:val="00515A8C"/>
    <w:rsid w:val="005F6D52"/>
    <w:rsid w:val="006525EB"/>
    <w:rsid w:val="00767DC1"/>
    <w:rsid w:val="008318DF"/>
    <w:rsid w:val="00872455"/>
    <w:rsid w:val="009D160A"/>
    <w:rsid w:val="009D6AB2"/>
    <w:rsid w:val="00AB0834"/>
    <w:rsid w:val="00AB35F6"/>
    <w:rsid w:val="00B6740E"/>
    <w:rsid w:val="00BE2001"/>
    <w:rsid w:val="00C21205"/>
    <w:rsid w:val="00C37CA8"/>
    <w:rsid w:val="00CF1CAA"/>
    <w:rsid w:val="00FA5B8A"/>
    <w:rsid w:val="00FE19E2"/>
    <w:rsid w:val="1C1672B0"/>
    <w:rsid w:val="4077051F"/>
    <w:rsid w:val="7F9D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jc w:val="left"/>
    </w:pPr>
    <w:rPr>
      <w:sz w:val="18"/>
      <w:szCs w:val="18"/>
    </w:rPr>
  </w:style>
  <w:style w:type="paragraph" w:styleId="3">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7"/>
    <w:qFormat/>
    <w:uiPriority w:val="0"/>
    <w:pPr>
      <w:adjustRightInd w:val="0"/>
      <w:snapToGrid w:val="0"/>
      <w:spacing w:line="700" w:lineRule="exact"/>
      <w:jc w:val="center"/>
      <w:outlineLvl w:val="0"/>
    </w:pPr>
    <w:rPr>
      <w:rFonts w:eastAsia="方正小标宋简体" w:asciiTheme="majorHAnsi" w:hAnsiTheme="majorHAnsi" w:cstheme="majorBidi"/>
      <w:bCs/>
      <w:sz w:val="44"/>
      <w:szCs w:val="32"/>
    </w:rPr>
  </w:style>
  <w:style w:type="character" w:customStyle="1" w:styleId="7">
    <w:name w:val="标题 Char"/>
    <w:basedOn w:val="6"/>
    <w:link w:val="4"/>
    <w:qFormat/>
    <w:uiPriority w:val="0"/>
    <w:rPr>
      <w:rFonts w:eastAsia="方正小标宋简体" w:asciiTheme="majorHAnsi" w:hAnsiTheme="majorHAnsi" w:cstheme="majorBidi"/>
      <w:bCs/>
      <w:sz w:val="44"/>
      <w:szCs w:val="32"/>
    </w:rPr>
  </w:style>
  <w:style w:type="character" w:customStyle="1" w:styleId="8">
    <w:name w:val="font71"/>
    <w:basedOn w:val="6"/>
    <w:qFormat/>
    <w:uiPriority w:val="0"/>
    <w:rPr>
      <w:rFonts w:hint="eastAsia" w:ascii="黑体" w:hAnsi="黑体" w:eastAsia="黑体"/>
      <w:color w:val="000000"/>
      <w:sz w:val="22"/>
      <w:szCs w:val="22"/>
      <w:u w:val="none"/>
    </w:rPr>
  </w:style>
  <w:style w:type="character" w:customStyle="1" w:styleId="9">
    <w:name w:val="font21"/>
    <w:basedOn w:val="6"/>
    <w:qFormat/>
    <w:uiPriority w:val="0"/>
    <w:rPr>
      <w:rFonts w:hint="eastAsia" w:ascii="宋体" w:hAnsi="宋体" w:eastAsia="宋体"/>
      <w:color w:val="000000"/>
      <w:sz w:val="22"/>
      <w:szCs w:val="22"/>
      <w:u w:val="none"/>
    </w:rPr>
  </w:style>
  <w:style w:type="character" w:customStyle="1" w:styleId="10">
    <w:name w:val="font61"/>
    <w:basedOn w:val="6"/>
    <w:qFormat/>
    <w:uiPriority w:val="0"/>
    <w:rPr>
      <w:rFonts w:hint="eastAsia" w:ascii="仿宋_GB2312" w:eastAsia="仿宋_GB2312"/>
      <w:color w:val="000000"/>
      <w:sz w:val="22"/>
      <w:szCs w:val="22"/>
      <w:u w:val="none"/>
    </w:rPr>
  </w:style>
  <w:style w:type="character" w:customStyle="1" w:styleId="11">
    <w:name w:val="font31"/>
    <w:basedOn w:val="6"/>
    <w:qFormat/>
    <w:uiPriority w:val="0"/>
    <w:rPr>
      <w:rFonts w:hint="eastAsia" w:ascii="仿宋" w:hAnsi="仿宋" w:eastAsia="仿宋"/>
      <w:color w:val="000000"/>
      <w:sz w:val="20"/>
      <w:szCs w:val="20"/>
      <w:u w:val="none"/>
    </w:rPr>
  </w:style>
  <w:style w:type="character" w:customStyle="1" w:styleId="12">
    <w:name w:val="font41"/>
    <w:basedOn w:val="6"/>
    <w:qFormat/>
    <w:uiPriority w:val="0"/>
    <w:rPr>
      <w:rFonts w:hint="eastAsia" w:ascii="宋体" w:hAnsi="宋体" w:eastAsia="宋体"/>
      <w:color w:val="000000"/>
      <w:sz w:val="20"/>
      <w:szCs w:val="20"/>
      <w:u w:val="none"/>
    </w:rPr>
  </w:style>
  <w:style w:type="character" w:customStyle="1" w:styleId="13">
    <w:name w:val="页眉 Char"/>
    <w:basedOn w:val="6"/>
    <w:link w:val="3"/>
    <w:qFormat/>
    <w:uiPriority w:val="99"/>
    <w:rPr>
      <w:sz w:val="18"/>
      <w:szCs w:val="18"/>
    </w:rPr>
  </w:style>
  <w:style w:type="character" w:customStyle="1" w:styleId="14">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7539</Words>
  <Characters>8049</Characters>
  <Lines>67</Lines>
  <Paragraphs>19</Paragraphs>
  <TotalTime>16</TotalTime>
  <ScaleCrop>false</ScaleCrop>
  <LinksUpToDate>false</LinksUpToDate>
  <CharactersWithSpaces>9158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2024-06-28T10:26:00Z</dcterms:created>
  <dc:creator>MSI-B360PRO</dc:creator>
  <cp:lastModifiedBy>张林</cp:lastModifiedBy>
  <dcterms:modified xsi:type="dcterms:W3CDTF">2024-07-25T00:51:10Z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D8427F0CF2C846DCB80CBBB4B7A35EAC_13</vt:lpwstr>
  </property>
</Properties>
</file>