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Lines="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附件2</w:t>
      </w:r>
    </w:p>
    <w:p>
      <w:pPr>
        <w:pStyle w:val="5"/>
        <w:snapToGrid/>
        <w:spacing w:beforeLines="0" w:after="156" w:afterLines="50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/>
          <w:b/>
          <w:bCs/>
          <w:sz w:val="44"/>
          <w:szCs w:val="44"/>
        </w:rPr>
        <w:t>湖南省各市州环境管控单元分类统计表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71"/>
        <w:gridCol w:w="1343"/>
        <w:gridCol w:w="1144"/>
        <w:gridCol w:w="930"/>
        <w:gridCol w:w="1355"/>
        <w:gridCol w:w="1158"/>
        <w:gridCol w:w="930"/>
        <w:gridCol w:w="1281"/>
        <w:gridCol w:w="1142"/>
        <w:gridCol w:w="804"/>
        <w:gridCol w:w="1331"/>
      </w:tblGrid>
      <w:tr>
        <w:trPr>
          <w:trHeight w:val="412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市州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优先保护单元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重点管控单元</w:t>
            </w:r>
          </w:p>
        </w:tc>
        <w:tc>
          <w:tcPr>
            <w:tcW w:w="33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一般管控单元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单元个数合计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总面积</w:t>
            </w:r>
            <w:r>
              <w:rPr>
                <w:rFonts w:eastAsia="黑体"/>
                <w:kern w:val="0"/>
                <w:sz w:val="24"/>
              </w:rPr>
              <w:t xml:space="preserve">       </w:t>
            </w:r>
            <w:r>
              <w:rPr>
                <w:rFonts w:hAnsi="黑体" w:eastAsia="黑体"/>
                <w:kern w:val="0"/>
                <w:sz w:val="24"/>
              </w:rPr>
              <w:t>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km²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数量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km²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面积占比（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%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数量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km²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面积占比（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%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数量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km²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面积占比（</w:t>
            </w:r>
            <w:r>
              <w:rPr>
                <w:rStyle w:val="6"/>
                <w:rFonts w:ascii="Times New Roman" w:hAnsi="Times New Roman" w:eastAsia="黑体" w:cs="Times New Roman"/>
                <w:sz w:val="24"/>
              </w:rPr>
              <w:t>%</w:t>
            </w:r>
            <w:r>
              <w:rPr>
                <w:rFonts w:hAnsi="黑体" w:eastAsia="黑体"/>
                <w:kern w:val="0"/>
                <w:sz w:val="24"/>
              </w:rPr>
              <w:t>）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长沙市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2113.21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17.88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2315.25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19.59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7387.50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62.53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11815.96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株洲市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3491.08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31.04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1513.98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13.46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6242.49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55.50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11247.55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湘潭市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485.02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9.69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1031.53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20.61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3489.26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69.70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5005.81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衡阳市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2381.80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15.57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3040.85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19.88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9876.59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64.55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15299.24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邵阳市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9208.56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44.22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4337.34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20.83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7278.46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34.95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20824.36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岳阳市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6267.86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42.19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5915.71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39.82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2674.22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17.99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14857.79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常德市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6719.97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36.97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2595.46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14.28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8861.75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48.75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18177.18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张家界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5587.03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58.60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1359.52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14.26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2587.22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27.14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9533.77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益阳市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4859.39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39.44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2058.65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16.71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5402.34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43.85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12320.38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郴州市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7005.18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36.22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7997.71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41.35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4338.96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22.43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19341.85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永州市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10075.34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45.26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2622.34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11.78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9561.52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42.96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22259.20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怀化市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12004.46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43.54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6588.97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23.90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8979.11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32.56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27572.54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娄底市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2085.92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25.72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1397.43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17.23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4626.24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57.05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8109.59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湘西自治州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7149.87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46.22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2521.76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16.30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5798.77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37.48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15470.40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79434.69 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37.50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45296.50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21.38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87104.43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41.12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211835.62</w:t>
            </w:r>
          </w:p>
        </w:tc>
      </w:tr>
    </w:tbl>
    <w:p/>
    <w:p/>
    <w:sectPr>
      <w:pgSz w:w="16838" w:h="11906" w:orient="landscape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0975"/>
    <w:rsid w:val="618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Cs w:val="20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link w:val="3"/>
    <w:uiPriority w:val="0"/>
    <w:rPr>
      <w:szCs w:val="20"/>
    </w:rPr>
  </w:style>
  <w:style w:type="paragraph" w:customStyle="1" w:styleId="5">
    <w:name w:val="表头"/>
    <w:basedOn w:val="1"/>
    <w:uiPriority w:val="0"/>
    <w:pPr>
      <w:tabs>
        <w:tab w:val="left" w:pos="1021"/>
      </w:tabs>
      <w:snapToGrid w:val="0"/>
      <w:spacing w:before="156" w:beforeLines="50"/>
      <w:jc w:val="center"/>
    </w:pPr>
    <w:rPr>
      <w:rFonts w:eastAsia="黑体"/>
      <w:kern w:val="24"/>
      <w:sz w:val="28"/>
      <w:szCs w:val="28"/>
    </w:rPr>
  </w:style>
  <w:style w:type="character" w:customStyle="1" w:styleId="6">
    <w:name w:val="font51"/>
    <w:basedOn w:val="3"/>
    <w:qFormat/>
    <w:uiPriority w:val="0"/>
    <w:rPr>
      <w:rFonts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2020-07-02T02:47:00Z</dcterms:created>
  <dc:creator>Van</dc:creator>
  <cp:lastModifiedBy>Van</cp:lastModifiedBy>
  <dcterms:modified xsi:type="dcterms:W3CDTF">2020-07-02T02:48:07Z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